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3F6E0" w14:textId="77777777" w:rsidR="006C4F12" w:rsidRDefault="00827A53">
      <w:pPr>
        <w:jc w:val="center"/>
        <w:rPr>
          <w:b/>
          <w:sz w:val="30"/>
          <w:szCs w:val="30"/>
        </w:rPr>
      </w:pPr>
      <w:r>
        <w:rPr>
          <w:b/>
          <w:sz w:val="30"/>
          <w:szCs w:val="30"/>
        </w:rPr>
        <w:t>Supplementary Materials</w:t>
      </w:r>
    </w:p>
    <w:p w14:paraId="2032BA15" w14:textId="143B538D" w:rsidR="006C4F12" w:rsidRDefault="00827A53">
      <w:pPr>
        <w:rPr>
          <w:b/>
        </w:rPr>
      </w:pPr>
      <w:r>
        <w:rPr>
          <w:b/>
        </w:rPr>
        <w:br/>
      </w:r>
      <w:r w:rsidR="00EB23DA">
        <w:rPr>
          <w:b/>
        </w:rPr>
        <w:t>A</w:t>
      </w:r>
      <w:r>
        <w:rPr>
          <w:b/>
        </w:rPr>
        <w:t>.1 Table</w:t>
      </w:r>
      <w:r w:rsidR="00FC2A8A">
        <w:rPr>
          <w:b/>
        </w:rPr>
        <w:t>s</w:t>
      </w:r>
      <w:r>
        <w:rPr>
          <w:b/>
        </w:rPr>
        <w:t xml:space="preserve"> of Reviewed Literature</w:t>
      </w:r>
    </w:p>
    <w:p w14:paraId="55196EC6" w14:textId="77777777" w:rsidR="006C4F12" w:rsidRDefault="006C4F12">
      <w:pPr>
        <w:widowControl w:val="0"/>
      </w:pPr>
    </w:p>
    <w:tbl>
      <w:tblPr>
        <w:tblStyle w:val="a"/>
        <w:tblW w:w="14535"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915"/>
        <w:gridCol w:w="1020"/>
        <w:gridCol w:w="1485"/>
        <w:gridCol w:w="1095"/>
        <w:gridCol w:w="660"/>
        <w:gridCol w:w="1080"/>
        <w:gridCol w:w="1065"/>
        <w:gridCol w:w="5340"/>
      </w:tblGrid>
      <w:tr w:rsidR="006C4F12" w14:paraId="52ED869D" w14:textId="77777777">
        <w:tc>
          <w:tcPr>
            <w:tcW w:w="1875" w:type="dxa"/>
            <w:tcMar>
              <w:top w:w="40" w:type="dxa"/>
              <w:left w:w="40" w:type="dxa"/>
              <w:bottom w:w="40" w:type="dxa"/>
              <w:right w:w="40" w:type="dxa"/>
            </w:tcMar>
            <w:vAlign w:val="center"/>
          </w:tcPr>
          <w:p w14:paraId="4BBB9625" w14:textId="77777777" w:rsidR="006C4F12" w:rsidRDefault="00827A53">
            <w:pPr>
              <w:widowControl w:val="0"/>
              <w:jc w:val="center"/>
              <w:rPr>
                <w:b/>
                <w:sz w:val="18"/>
                <w:szCs w:val="18"/>
              </w:rPr>
            </w:pPr>
            <w:r>
              <w:rPr>
                <w:b/>
                <w:sz w:val="18"/>
                <w:szCs w:val="18"/>
              </w:rPr>
              <w:t>Title</w:t>
            </w:r>
          </w:p>
        </w:tc>
        <w:tc>
          <w:tcPr>
            <w:tcW w:w="915" w:type="dxa"/>
            <w:tcBorders>
              <w:top w:val="single" w:sz="5" w:space="0" w:color="000000"/>
              <w:bottom w:val="single" w:sz="5" w:space="0" w:color="000000"/>
              <w:right w:val="single" w:sz="5" w:space="0" w:color="000000"/>
            </w:tcBorders>
            <w:tcMar>
              <w:top w:w="40" w:type="dxa"/>
              <w:left w:w="40" w:type="dxa"/>
              <w:bottom w:w="40" w:type="dxa"/>
              <w:right w:w="40" w:type="dxa"/>
            </w:tcMar>
            <w:vAlign w:val="center"/>
          </w:tcPr>
          <w:p w14:paraId="767BD8B6" w14:textId="77777777" w:rsidR="006C4F12" w:rsidRDefault="00827A53">
            <w:pPr>
              <w:widowControl w:val="0"/>
              <w:jc w:val="center"/>
              <w:rPr>
                <w:b/>
                <w:sz w:val="18"/>
                <w:szCs w:val="18"/>
              </w:rPr>
            </w:pPr>
            <w:r>
              <w:rPr>
                <w:b/>
                <w:sz w:val="18"/>
                <w:szCs w:val="18"/>
              </w:rPr>
              <w:t>Authors</w:t>
            </w:r>
          </w:p>
        </w:tc>
        <w:tc>
          <w:tcPr>
            <w:tcW w:w="10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835C511" w14:textId="77777777" w:rsidR="006C4F12" w:rsidRDefault="00827A53">
            <w:pPr>
              <w:widowControl w:val="0"/>
              <w:jc w:val="center"/>
              <w:rPr>
                <w:b/>
                <w:sz w:val="18"/>
                <w:szCs w:val="18"/>
              </w:rPr>
            </w:pPr>
            <w:r>
              <w:rPr>
                <w:b/>
                <w:sz w:val="18"/>
                <w:szCs w:val="18"/>
              </w:rPr>
              <w:t>Citations</w:t>
            </w:r>
          </w:p>
        </w:tc>
        <w:tc>
          <w:tcPr>
            <w:tcW w:w="148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1D5D5E6" w14:textId="77777777" w:rsidR="006C4F12" w:rsidRDefault="00827A53">
            <w:pPr>
              <w:widowControl w:val="0"/>
              <w:jc w:val="center"/>
              <w:rPr>
                <w:b/>
                <w:sz w:val="18"/>
                <w:szCs w:val="18"/>
              </w:rPr>
            </w:pPr>
            <w:r>
              <w:rPr>
                <w:b/>
                <w:sz w:val="18"/>
                <w:szCs w:val="18"/>
              </w:rPr>
              <w:t>Journal</w:t>
            </w:r>
          </w:p>
        </w:tc>
        <w:tc>
          <w:tcPr>
            <w:tcW w:w="10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37B9F49" w14:textId="77777777" w:rsidR="006C4F12" w:rsidRDefault="00827A53">
            <w:pPr>
              <w:widowControl w:val="0"/>
              <w:jc w:val="center"/>
              <w:rPr>
                <w:b/>
                <w:sz w:val="18"/>
                <w:szCs w:val="18"/>
              </w:rPr>
            </w:pPr>
            <w:r>
              <w:rPr>
                <w:b/>
                <w:sz w:val="18"/>
                <w:szCs w:val="18"/>
              </w:rPr>
              <w:t>Publication Year</w:t>
            </w:r>
          </w:p>
        </w:tc>
        <w:tc>
          <w:tcPr>
            <w:tcW w:w="6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89A9F57" w14:textId="77777777" w:rsidR="006C4F12" w:rsidRDefault="00827A53">
            <w:pPr>
              <w:widowControl w:val="0"/>
              <w:jc w:val="center"/>
              <w:rPr>
                <w:b/>
                <w:sz w:val="18"/>
                <w:szCs w:val="18"/>
              </w:rPr>
            </w:pPr>
            <w:r>
              <w:rPr>
                <w:b/>
                <w:sz w:val="18"/>
                <w:szCs w:val="18"/>
              </w:rPr>
              <w:t>Study Year</w:t>
            </w:r>
          </w:p>
        </w:tc>
        <w:tc>
          <w:tcPr>
            <w:tcW w:w="108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EDFB50E" w14:textId="77777777" w:rsidR="006C4F12" w:rsidRDefault="00827A53">
            <w:pPr>
              <w:widowControl w:val="0"/>
              <w:jc w:val="center"/>
              <w:rPr>
                <w:b/>
                <w:sz w:val="18"/>
                <w:szCs w:val="18"/>
              </w:rPr>
            </w:pPr>
            <w:r>
              <w:rPr>
                <w:b/>
                <w:sz w:val="18"/>
                <w:szCs w:val="18"/>
              </w:rPr>
              <w:t>Study Region</w:t>
            </w:r>
          </w:p>
        </w:tc>
        <w:tc>
          <w:tcPr>
            <w:tcW w:w="10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731BBDF" w14:textId="77777777" w:rsidR="006C4F12" w:rsidRDefault="00827A53">
            <w:pPr>
              <w:widowControl w:val="0"/>
              <w:jc w:val="center"/>
              <w:rPr>
                <w:b/>
                <w:sz w:val="18"/>
                <w:szCs w:val="18"/>
              </w:rPr>
            </w:pPr>
            <w:r>
              <w:rPr>
                <w:b/>
                <w:sz w:val="18"/>
                <w:szCs w:val="18"/>
              </w:rPr>
              <w:t>Data Granularity</w:t>
            </w:r>
          </w:p>
        </w:tc>
        <w:tc>
          <w:tcPr>
            <w:tcW w:w="5340" w:type="dxa"/>
            <w:tcBorders>
              <w:left w:val="single" w:sz="5" w:space="0" w:color="000000"/>
            </w:tcBorders>
            <w:shd w:val="clear" w:color="auto" w:fill="auto"/>
            <w:tcMar>
              <w:top w:w="100" w:type="dxa"/>
              <w:left w:w="100" w:type="dxa"/>
              <w:bottom w:w="100" w:type="dxa"/>
              <w:right w:w="100" w:type="dxa"/>
            </w:tcMar>
            <w:vAlign w:val="center"/>
          </w:tcPr>
          <w:p w14:paraId="6A010F22" w14:textId="77777777" w:rsidR="006C4F12" w:rsidRDefault="00827A53">
            <w:pPr>
              <w:widowControl w:val="0"/>
              <w:spacing w:line="240" w:lineRule="auto"/>
              <w:jc w:val="center"/>
              <w:rPr>
                <w:b/>
                <w:sz w:val="18"/>
                <w:szCs w:val="18"/>
              </w:rPr>
            </w:pPr>
            <w:r>
              <w:rPr>
                <w:b/>
                <w:sz w:val="18"/>
                <w:szCs w:val="18"/>
              </w:rPr>
              <w:t>Temperature Effects</w:t>
            </w:r>
          </w:p>
          <w:p w14:paraId="45AE833D" w14:textId="77777777" w:rsidR="006C4F12" w:rsidRDefault="00827A53">
            <w:pPr>
              <w:widowControl w:val="0"/>
              <w:spacing w:line="240" w:lineRule="auto"/>
              <w:jc w:val="center"/>
              <w:rPr>
                <w:b/>
                <w:sz w:val="18"/>
                <w:szCs w:val="18"/>
              </w:rPr>
            </w:pPr>
            <w:r>
              <w:rPr>
                <w:b/>
                <w:sz w:val="18"/>
                <w:szCs w:val="18"/>
              </w:rPr>
              <w:t>on Gender</w:t>
            </w:r>
          </w:p>
        </w:tc>
      </w:tr>
      <w:tr w:rsidR="006C4F12" w14:paraId="2F57BD79" w14:textId="77777777">
        <w:trPr>
          <w:trHeight w:val="1643"/>
        </w:trPr>
        <w:tc>
          <w:tcPr>
            <w:tcW w:w="1875" w:type="dxa"/>
            <w:shd w:val="clear" w:color="auto" w:fill="F4CCCC"/>
            <w:tcMar>
              <w:top w:w="100" w:type="dxa"/>
              <w:left w:w="100" w:type="dxa"/>
              <w:bottom w:w="100" w:type="dxa"/>
              <w:right w:w="100" w:type="dxa"/>
            </w:tcMar>
            <w:vAlign w:val="center"/>
          </w:tcPr>
          <w:p w14:paraId="7D520B80" w14:textId="77777777" w:rsidR="006C4F12" w:rsidRDefault="00827A53">
            <w:pPr>
              <w:widowControl w:val="0"/>
              <w:spacing w:line="240" w:lineRule="auto"/>
              <w:jc w:val="center"/>
              <w:rPr>
                <w:sz w:val="18"/>
                <w:szCs w:val="18"/>
              </w:rPr>
            </w:pPr>
            <w:r>
              <w:rPr>
                <w:sz w:val="18"/>
                <w:szCs w:val="18"/>
              </w:rPr>
              <w:t>Is the association between temperature and mortality modified by age, gender and socio-economic status?</w:t>
            </w:r>
          </w:p>
        </w:tc>
        <w:tc>
          <w:tcPr>
            <w:tcW w:w="915" w:type="dxa"/>
            <w:shd w:val="clear" w:color="auto" w:fill="F4CCCC"/>
            <w:tcMar>
              <w:top w:w="100" w:type="dxa"/>
              <w:left w:w="100" w:type="dxa"/>
              <w:bottom w:w="100" w:type="dxa"/>
              <w:right w:w="100" w:type="dxa"/>
            </w:tcMar>
            <w:vAlign w:val="center"/>
          </w:tcPr>
          <w:p w14:paraId="4F901EDE" w14:textId="77777777" w:rsidR="006C4F12" w:rsidRDefault="00827A53">
            <w:pPr>
              <w:widowControl w:val="0"/>
              <w:spacing w:line="240" w:lineRule="auto"/>
              <w:jc w:val="center"/>
              <w:rPr>
                <w:sz w:val="18"/>
                <w:szCs w:val="18"/>
              </w:rPr>
            </w:pPr>
            <w:r>
              <w:rPr>
                <w:sz w:val="18"/>
                <w:szCs w:val="18"/>
              </w:rPr>
              <w:t>Yu et al.</w:t>
            </w:r>
          </w:p>
        </w:tc>
        <w:tc>
          <w:tcPr>
            <w:tcW w:w="1020" w:type="dxa"/>
            <w:shd w:val="clear" w:color="auto" w:fill="F4CCCC"/>
            <w:tcMar>
              <w:top w:w="100" w:type="dxa"/>
              <w:left w:w="100" w:type="dxa"/>
              <w:bottom w:w="100" w:type="dxa"/>
              <w:right w:w="100" w:type="dxa"/>
            </w:tcMar>
            <w:vAlign w:val="center"/>
          </w:tcPr>
          <w:p w14:paraId="66FCFDBE" w14:textId="77777777" w:rsidR="006C4F12" w:rsidRDefault="00827A53">
            <w:pPr>
              <w:widowControl w:val="0"/>
              <w:spacing w:line="240" w:lineRule="auto"/>
              <w:jc w:val="center"/>
              <w:rPr>
                <w:sz w:val="18"/>
                <w:szCs w:val="18"/>
              </w:rPr>
            </w:pPr>
            <w:r>
              <w:rPr>
                <w:sz w:val="18"/>
                <w:szCs w:val="18"/>
              </w:rPr>
              <w:t>202</w:t>
            </w:r>
          </w:p>
        </w:tc>
        <w:tc>
          <w:tcPr>
            <w:tcW w:w="1485" w:type="dxa"/>
            <w:shd w:val="clear" w:color="auto" w:fill="F4CCCC"/>
            <w:tcMar>
              <w:top w:w="100" w:type="dxa"/>
              <w:left w:w="100" w:type="dxa"/>
              <w:bottom w:w="100" w:type="dxa"/>
              <w:right w:w="100" w:type="dxa"/>
            </w:tcMar>
            <w:vAlign w:val="center"/>
          </w:tcPr>
          <w:p w14:paraId="129F4CB9" w14:textId="77777777" w:rsidR="006C4F12" w:rsidRDefault="00827A53">
            <w:pPr>
              <w:widowControl w:val="0"/>
              <w:spacing w:line="240" w:lineRule="auto"/>
              <w:jc w:val="center"/>
              <w:rPr>
                <w:sz w:val="18"/>
                <w:szCs w:val="18"/>
              </w:rPr>
            </w:pPr>
            <w:r>
              <w:rPr>
                <w:sz w:val="18"/>
                <w:szCs w:val="18"/>
              </w:rPr>
              <w:t>Science of The Total Environment</w:t>
            </w:r>
          </w:p>
        </w:tc>
        <w:tc>
          <w:tcPr>
            <w:tcW w:w="1095" w:type="dxa"/>
            <w:shd w:val="clear" w:color="auto" w:fill="F4CCCC"/>
            <w:tcMar>
              <w:top w:w="100" w:type="dxa"/>
              <w:left w:w="100" w:type="dxa"/>
              <w:bottom w:w="100" w:type="dxa"/>
              <w:right w:w="100" w:type="dxa"/>
            </w:tcMar>
            <w:vAlign w:val="center"/>
          </w:tcPr>
          <w:p w14:paraId="044F21DD" w14:textId="77777777" w:rsidR="006C4F12" w:rsidRDefault="00827A53">
            <w:pPr>
              <w:widowControl w:val="0"/>
              <w:spacing w:line="240" w:lineRule="auto"/>
              <w:jc w:val="center"/>
              <w:rPr>
                <w:sz w:val="18"/>
                <w:szCs w:val="18"/>
              </w:rPr>
            </w:pPr>
            <w:r>
              <w:rPr>
                <w:sz w:val="18"/>
                <w:szCs w:val="18"/>
              </w:rPr>
              <w:t>2010</w:t>
            </w:r>
          </w:p>
        </w:tc>
        <w:tc>
          <w:tcPr>
            <w:tcW w:w="660" w:type="dxa"/>
            <w:shd w:val="clear" w:color="auto" w:fill="F4CCCC"/>
            <w:tcMar>
              <w:top w:w="100" w:type="dxa"/>
              <w:left w:w="100" w:type="dxa"/>
              <w:bottom w:w="100" w:type="dxa"/>
              <w:right w:w="100" w:type="dxa"/>
            </w:tcMar>
            <w:vAlign w:val="center"/>
          </w:tcPr>
          <w:p w14:paraId="6AD2C7CA" w14:textId="77777777" w:rsidR="006C4F12" w:rsidRDefault="00827A53">
            <w:pPr>
              <w:widowControl w:val="0"/>
              <w:spacing w:line="240" w:lineRule="auto"/>
              <w:jc w:val="center"/>
              <w:rPr>
                <w:sz w:val="18"/>
                <w:szCs w:val="18"/>
              </w:rPr>
            </w:pPr>
            <w:r>
              <w:rPr>
                <w:sz w:val="18"/>
                <w:szCs w:val="18"/>
              </w:rPr>
              <w:t>1996 - 2004</w:t>
            </w:r>
          </w:p>
        </w:tc>
        <w:tc>
          <w:tcPr>
            <w:tcW w:w="1080" w:type="dxa"/>
            <w:shd w:val="clear" w:color="auto" w:fill="F4CCCC"/>
            <w:tcMar>
              <w:top w:w="100" w:type="dxa"/>
              <w:left w:w="100" w:type="dxa"/>
              <w:bottom w:w="100" w:type="dxa"/>
              <w:right w:w="100" w:type="dxa"/>
            </w:tcMar>
            <w:vAlign w:val="center"/>
          </w:tcPr>
          <w:p w14:paraId="33478C8A" w14:textId="77777777" w:rsidR="006C4F12" w:rsidRDefault="00827A53">
            <w:pPr>
              <w:widowControl w:val="0"/>
              <w:spacing w:line="240" w:lineRule="auto"/>
              <w:jc w:val="center"/>
              <w:rPr>
                <w:sz w:val="18"/>
                <w:szCs w:val="18"/>
              </w:rPr>
            </w:pPr>
            <w:r>
              <w:rPr>
                <w:sz w:val="18"/>
                <w:szCs w:val="18"/>
              </w:rPr>
              <w:t>Brisbane, Australia</w:t>
            </w:r>
          </w:p>
        </w:tc>
        <w:tc>
          <w:tcPr>
            <w:tcW w:w="1065" w:type="dxa"/>
            <w:shd w:val="clear" w:color="auto" w:fill="F4CCCC"/>
            <w:tcMar>
              <w:top w:w="100" w:type="dxa"/>
              <w:left w:w="100" w:type="dxa"/>
              <w:bottom w:w="100" w:type="dxa"/>
              <w:right w:w="100" w:type="dxa"/>
            </w:tcMar>
            <w:vAlign w:val="center"/>
          </w:tcPr>
          <w:p w14:paraId="5AE76339" w14:textId="77777777" w:rsidR="006C4F12" w:rsidRDefault="00827A53">
            <w:pPr>
              <w:widowControl w:val="0"/>
              <w:spacing w:line="240" w:lineRule="auto"/>
              <w:jc w:val="center"/>
              <w:rPr>
                <w:sz w:val="18"/>
                <w:szCs w:val="18"/>
              </w:rPr>
            </w:pPr>
            <w:r>
              <w:rPr>
                <w:sz w:val="18"/>
                <w:szCs w:val="18"/>
              </w:rPr>
              <w:t>Daily data</w:t>
            </w:r>
          </w:p>
        </w:tc>
        <w:tc>
          <w:tcPr>
            <w:tcW w:w="5340" w:type="dxa"/>
            <w:shd w:val="clear" w:color="auto" w:fill="F4CCCC"/>
            <w:tcMar>
              <w:top w:w="100" w:type="dxa"/>
              <w:left w:w="100" w:type="dxa"/>
              <w:bottom w:w="100" w:type="dxa"/>
              <w:right w:w="100" w:type="dxa"/>
            </w:tcMar>
            <w:vAlign w:val="center"/>
          </w:tcPr>
          <w:p w14:paraId="79D65A6B" w14:textId="77777777" w:rsidR="006C4F12" w:rsidRPr="00477625" w:rsidRDefault="00827A53">
            <w:pPr>
              <w:widowControl w:val="0"/>
              <w:spacing w:line="240" w:lineRule="auto"/>
              <w:jc w:val="center"/>
              <w:rPr>
                <w:sz w:val="18"/>
                <w:szCs w:val="18"/>
              </w:rPr>
            </w:pPr>
            <w:r w:rsidRPr="00477625">
              <w:rPr>
                <w:rFonts w:eastAsia="Arial Unicode MS"/>
                <w:sz w:val="18"/>
                <w:szCs w:val="18"/>
              </w:rPr>
              <w:t xml:space="preserve">A total of 53,316 (27,244 females and 26,072 males) </w:t>
            </w:r>
            <w:r w:rsidRPr="00477625">
              <w:rPr>
                <w:rFonts w:eastAsia="Arial Unicode MS"/>
                <w:sz w:val="18"/>
                <w:szCs w:val="18"/>
              </w:rPr>
              <w:t>non-external deaths were included during the study period. The effect among women (11.21% (95% CI: 5.00%, 17.41%)) was more than 20 times that among men (0.56% (95% CI: −9.20%, 10.31%)). Percent increases of total deaths in females were significantly greater than in males in the eldest age group (over 85) when we cross-classified data by age and gender.</w:t>
            </w:r>
          </w:p>
        </w:tc>
      </w:tr>
      <w:tr w:rsidR="006C4F12" w14:paraId="4E9E7290" w14:textId="77777777">
        <w:tc>
          <w:tcPr>
            <w:tcW w:w="1875" w:type="dxa"/>
            <w:shd w:val="clear" w:color="auto" w:fill="CCCCCC"/>
            <w:tcMar>
              <w:top w:w="100" w:type="dxa"/>
              <w:left w:w="100" w:type="dxa"/>
              <w:bottom w:w="100" w:type="dxa"/>
              <w:right w:w="100" w:type="dxa"/>
            </w:tcMar>
            <w:vAlign w:val="center"/>
          </w:tcPr>
          <w:p w14:paraId="540C9583" w14:textId="77777777" w:rsidR="006C4F12" w:rsidRDefault="00827A53">
            <w:pPr>
              <w:widowControl w:val="0"/>
              <w:spacing w:line="240" w:lineRule="auto"/>
              <w:jc w:val="center"/>
              <w:rPr>
                <w:sz w:val="18"/>
                <w:szCs w:val="18"/>
              </w:rPr>
            </w:pPr>
            <w:r>
              <w:rPr>
                <w:sz w:val="18"/>
                <w:szCs w:val="18"/>
              </w:rPr>
              <w:t>The Impact of Heat Waves on Mortality in Seven Major Cities in Korea</w:t>
            </w:r>
          </w:p>
        </w:tc>
        <w:tc>
          <w:tcPr>
            <w:tcW w:w="915" w:type="dxa"/>
            <w:shd w:val="clear" w:color="auto" w:fill="CCCCCC"/>
            <w:tcMar>
              <w:top w:w="100" w:type="dxa"/>
              <w:left w:w="100" w:type="dxa"/>
              <w:bottom w:w="100" w:type="dxa"/>
              <w:right w:w="100" w:type="dxa"/>
            </w:tcMar>
            <w:vAlign w:val="center"/>
          </w:tcPr>
          <w:p w14:paraId="01D0922B" w14:textId="77777777" w:rsidR="006C4F12" w:rsidRDefault="00827A53">
            <w:pPr>
              <w:widowControl w:val="0"/>
              <w:spacing w:line="240" w:lineRule="auto"/>
              <w:jc w:val="center"/>
              <w:rPr>
                <w:sz w:val="18"/>
                <w:szCs w:val="18"/>
              </w:rPr>
            </w:pPr>
            <w:r>
              <w:rPr>
                <w:sz w:val="18"/>
                <w:szCs w:val="18"/>
              </w:rPr>
              <w:t>Son et al.</w:t>
            </w:r>
          </w:p>
        </w:tc>
        <w:tc>
          <w:tcPr>
            <w:tcW w:w="1020" w:type="dxa"/>
            <w:shd w:val="clear" w:color="auto" w:fill="CCCCCC"/>
            <w:tcMar>
              <w:top w:w="100" w:type="dxa"/>
              <w:left w:w="100" w:type="dxa"/>
              <w:bottom w:w="100" w:type="dxa"/>
              <w:right w:w="100" w:type="dxa"/>
            </w:tcMar>
            <w:vAlign w:val="center"/>
          </w:tcPr>
          <w:p w14:paraId="39842B5A" w14:textId="77777777" w:rsidR="006C4F12" w:rsidRDefault="00827A53">
            <w:pPr>
              <w:widowControl w:val="0"/>
              <w:spacing w:line="240" w:lineRule="auto"/>
              <w:jc w:val="center"/>
              <w:rPr>
                <w:sz w:val="18"/>
                <w:szCs w:val="18"/>
              </w:rPr>
            </w:pPr>
            <w:r>
              <w:rPr>
                <w:sz w:val="18"/>
                <w:szCs w:val="18"/>
              </w:rPr>
              <w:t>262</w:t>
            </w:r>
          </w:p>
        </w:tc>
        <w:tc>
          <w:tcPr>
            <w:tcW w:w="1485" w:type="dxa"/>
            <w:shd w:val="clear" w:color="auto" w:fill="CCCCCC"/>
            <w:tcMar>
              <w:top w:w="100" w:type="dxa"/>
              <w:left w:w="100" w:type="dxa"/>
              <w:bottom w:w="100" w:type="dxa"/>
              <w:right w:w="100" w:type="dxa"/>
            </w:tcMar>
            <w:vAlign w:val="center"/>
          </w:tcPr>
          <w:p w14:paraId="1E7FEA3A" w14:textId="77777777" w:rsidR="006C4F12" w:rsidRDefault="00827A53">
            <w:pPr>
              <w:widowControl w:val="0"/>
              <w:spacing w:line="240" w:lineRule="auto"/>
              <w:jc w:val="center"/>
              <w:rPr>
                <w:sz w:val="18"/>
                <w:szCs w:val="18"/>
              </w:rPr>
            </w:pPr>
            <w:r>
              <w:rPr>
                <w:sz w:val="18"/>
                <w:szCs w:val="18"/>
              </w:rPr>
              <w:t>Environmental Health Perspectives</w:t>
            </w:r>
          </w:p>
        </w:tc>
        <w:tc>
          <w:tcPr>
            <w:tcW w:w="1095" w:type="dxa"/>
            <w:shd w:val="clear" w:color="auto" w:fill="CCCCCC"/>
            <w:tcMar>
              <w:top w:w="100" w:type="dxa"/>
              <w:left w:w="100" w:type="dxa"/>
              <w:bottom w:w="100" w:type="dxa"/>
              <w:right w:w="100" w:type="dxa"/>
            </w:tcMar>
            <w:vAlign w:val="center"/>
          </w:tcPr>
          <w:p w14:paraId="2C4964F9" w14:textId="77777777" w:rsidR="006C4F12" w:rsidRDefault="00827A53">
            <w:pPr>
              <w:widowControl w:val="0"/>
              <w:spacing w:line="240" w:lineRule="auto"/>
              <w:jc w:val="center"/>
              <w:rPr>
                <w:sz w:val="18"/>
                <w:szCs w:val="18"/>
              </w:rPr>
            </w:pPr>
            <w:r>
              <w:rPr>
                <w:sz w:val="18"/>
                <w:szCs w:val="18"/>
              </w:rPr>
              <w:t>2012</w:t>
            </w:r>
          </w:p>
        </w:tc>
        <w:tc>
          <w:tcPr>
            <w:tcW w:w="660" w:type="dxa"/>
            <w:shd w:val="clear" w:color="auto" w:fill="CCCCCC"/>
            <w:tcMar>
              <w:top w:w="100" w:type="dxa"/>
              <w:left w:w="100" w:type="dxa"/>
              <w:bottom w:w="100" w:type="dxa"/>
              <w:right w:w="100" w:type="dxa"/>
            </w:tcMar>
            <w:vAlign w:val="center"/>
          </w:tcPr>
          <w:p w14:paraId="16B37D40" w14:textId="77777777" w:rsidR="006C4F12" w:rsidRDefault="00827A53">
            <w:pPr>
              <w:widowControl w:val="0"/>
              <w:spacing w:line="240" w:lineRule="auto"/>
              <w:jc w:val="center"/>
              <w:rPr>
                <w:sz w:val="18"/>
                <w:szCs w:val="18"/>
              </w:rPr>
            </w:pPr>
            <w:r>
              <w:rPr>
                <w:sz w:val="18"/>
                <w:szCs w:val="18"/>
              </w:rPr>
              <w:t>2000 - 2007</w:t>
            </w:r>
          </w:p>
        </w:tc>
        <w:tc>
          <w:tcPr>
            <w:tcW w:w="1080" w:type="dxa"/>
            <w:shd w:val="clear" w:color="auto" w:fill="CCCCCC"/>
            <w:tcMar>
              <w:top w:w="100" w:type="dxa"/>
              <w:left w:w="100" w:type="dxa"/>
              <w:bottom w:w="100" w:type="dxa"/>
              <w:right w:w="100" w:type="dxa"/>
            </w:tcMar>
            <w:vAlign w:val="center"/>
          </w:tcPr>
          <w:p w14:paraId="7ED8BD17" w14:textId="77777777" w:rsidR="006C4F12" w:rsidRDefault="00827A53">
            <w:pPr>
              <w:widowControl w:val="0"/>
              <w:spacing w:line="240" w:lineRule="auto"/>
              <w:jc w:val="center"/>
              <w:rPr>
                <w:sz w:val="18"/>
                <w:szCs w:val="18"/>
              </w:rPr>
            </w:pPr>
            <w:r>
              <w:rPr>
                <w:sz w:val="18"/>
                <w:szCs w:val="18"/>
              </w:rPr>
              <w:t xml:space="preserve">Seven Major </w:t>
            </w:r>
            <w:r>
              <w:rPr>
                <w:sz w:val="18"/>
                <w:szCs w:val="18"/>
              </w:rPr>
              <w:t>Cities in South Korea</w:t>
            </w:r>
          </w:p>
          <w:p w14:paraId="5BDB0813" w14:textId="77777777" w:rsidR="006C4F12" w:rsidRDefault="006C4F12">
            <w:pPr>
              <w:widowControl w:val="0"/>
              <w:spacing w:line="240" w:lineRule="auto"/>
              <w:jc w:val="center"/>
              <w:rPr>
                <w:sz w:val="18"/>
                <w:szCs w:val="18"/>
              </w:rPr>
            </w:pPr>
          </w:p>
        </w:tc>
        <w:tc>
          <w:tcPr>
            <w:tcW w:w="1065" w:type="dxa"/>
            <w:shd w:val="clear" w:color="auto" w:fill="CCCCCC"/>
            <w:tcMar>
              <w:top w:w="100" w:type="dxa"/>
              <w:left w:w="100" w:type="dxa"/>
              <w:bottom w:w="100" w:type="dxa"/>
              <w:right w:w="100" w:type="dxa"/>
            </w:tcMar>
            <w:vAlign w:val="center"/>
          </w:tcPr>
          <w:p w14:paraId="7CD1B051" w14:textId="77777777" w:rsidR="006C4F12" w:rsidRDefault="00827A53">
            <w:pPr>
              <w:widowControl w:val="0"/>
              <w:spacing w:line="240" w:lineRule="auto"/>
              <w:jc w:val="center"/>
              <w:rPr>
                <w:sz w:val="18"/>
                <w:szCs w:val="18"/>
              </w:rPr>
            </w:pPr>
            <w:r>
              <w:rPr>
                <w:sz w:val="18"/>
                <w:szCs w:val="18"/>
              </w:rPr>
              <w:t>Daily data</w:t>
            </w:r>
          </w:p>
        </w:tc>
        <w:tc>
          <w:tcPr>
            <w:tcW w:w="5340" w:type="dxa"/>
            <w:shd w:val="clear" w:color="auto" w:fill="CCCCCC"/>
            <w:tcMar>
              <w:top w:w="100" w:type="dxa"/>
              <w:left w:w="100" w:type="dxa"/>
              <w:bottom w:w="100" w:type="dxa"/>
              <w:right w:w="100" w:type="dxa"/>
            </w:tcMar>
            <w:vAlign w:val="center"/>
          </w:tcPr>
          <w:p w14:paraId="13661774" w14:textId="77777777" w:rsidR="006C4F12" w:rsidRDefault="00827A53">
            <w:pPr>
              <w:widowControl w:val="0"/>
              <w:spacing w:line="240" w:lineRule="auto"/>
              <w:jc w:val="center"/>
              <w:rPr>
                <w:sz w:val="18"/>
                <w:szCs w:val="18"/>
              </w:rPr>
            </w:pPr>
            <w:r>
              <w:rPr>
                <w:sz w:val="18"/>
                <w:szCs w:val="18"/>
              </w:rPr>
              <w:t>Sample size of mortality data and summary statistics for gender data are not provided. The total daily average mortality count is 215.3 for the seven cities. Estimated heat wave effects were not significantly different by sex, age, education level, or place of death in Seoul but were higher for females (15.9%; 95% CI: 2.9%, 30.5%) than males (2.5%; 95% CI: –7.6%, 13.8%)</w:t>
            </w:r>
          </w:p>
        </w:tc>
      </w:tr>
      <w:tr w:rsidR="006C4F12" w14:paraId="4B8F5FAC" w14:textId="77777777">
        <w:tc>
          <w:tcPr>
            <w:tcW w:w="1875" w:type="dxa"/>
            <w:shd w:val="clear" w:color="auto" w:fill="F4CCCC"/>
            <w:tcMar>
              <w:top w:w="100" w:type="dxa"/>
              <w:left w:w="100" w:type="dxa"/>
              <w:bottom w:w="100" w:type="dxa"/>
              <w:right w:w="100" w:type="dxa"/>
            </w:tcMar>
            <w:vAlign w:val="center"/>
          </w:tcPr>
          <w:p w14:paraId="2F9DEBB6" w14:textId="77777777" w:rsidR="006C4F12" w:rsidRDefault="00827A53">
            <w:pPr>
              <w:widowControl w:val="0"/>
              <w:spacing w:line="240" w:lineRule="auto"/>
              <w:jc w:val="center"/>
              <w:rPr>
                <w:sz w:val="16"/>
                <w:szCs w:val="16"/>
              </w:rPr>
            </w:pPr>
            <w:r>
              <w:rPr>
                <w:sz w:val="18"/>
                <w:szCs w:val="18"/>
              </w:rPr>
              <w:t xml:space="preserve">Heat- and cold-stress effects on cardiovascular mortality and morbidity among urban and rural </w:t>
            </w:r>
            <w:r>
              <w:rPr>
                <w:sz w:val="18"/>
                <w:szCs w:val="18"/>
              </w:rPr>
              <w:t>populations in the Czech Republic</w:t>
            </w:r>
          </w:p>
        </w:tc>
        <w:tc>
          <w:tcPr>
            <w:tcW w:w="915" w:type="dxa"/>
            <w:shd w:val="clear" w:color="auto" w:fill="F4CCCC"/>
            <w:tcMar>
              <w:top w:w="100" w:type="dxa"/>
              <w:left w:w="100" w:type="dxa"/>
              <w:bottom w:w="100" w:type="dxa"/>
              <w:right w:w="100" w:type="dxa"/>
            </w:tcMar>
            <w:vAlign w:val="center"/>
          </w:tcPr>
          <w:p w14:paraId="58686016" w14:textId="77777777" w:rsidR="006C4F12" w:rsidRDefault="00827A53">
            <w:pPr>
              <w:widowControl w:val="0"/>
              <w:spacing w:line="240" w:lineRule="auto"/>
              <w:jc w:val="center"/>
              <w:rPr>
                <w:sz w:val="16"/>
                <w:szCs w:val="16"/>
              </w:rPr>
            </w:pPr>
            <w:r>
              <w:rPr>
                <w:sz w:val="18"/>
                <w:szCs w:val="18"/>
              </w:rPr>
              <w:t>Urban et al.</w:t>
            </w:r>
          </w:p>
        </w:tc>
        <w:tc>
          <w:tcPr>
            <w:tcW w:w="1020" w:type="dxa"/>
            <w:shd w:val="clear" w:color="auto" w:fill="F4CCCC"/>
            <w:tcMar>
              <w:top w:w="100" w:type="dxa"/>
              <w:left w:w="100" w:type="dxa"/>
              <w:bottom w:w="100" w:type="dxa"/>
              <w:right w:w="100" w:type="dxa"/>
            </w:tcMar>
            <w:vAlign w:val="center"/>
          </w:tcPr>
          <w:p w14:paraId="373B03F5" w14:textId="77777777" w:rsidR="006C4F12" w:rsidRDefault="00827A53">
            <w:pPr>
              <w:widowControl w:val="0"/>
              <w:spacing w:line="240" w:lineRule="auto"/>
              <w:jc w:val="center"/>
              <w:rPr>
                <w:sz w:val="18"/>
                <w:szCs w:val="18"/>
              </w:rPr>
            </w:pPr>
            <w:r>
              <w:rPr>
                <w:sz w:val="18"/>
                <w:szCs w:val="18"/>
              </w:rPr>
              <w:t>113</w:t>
            </w:r>
          </w:p>
        </w:tc>
        <w:tc>
          <w:tcPr>
            <w:tcW w:w="1485" w:type="dxa"/>
            <w:shd w:val="clear" w:color="auto" w:fill="F4CCCC"/>
            <w:tcMar>
              <w:top w:w="100" w:type="dxa"/>
              <w:left w:w="100" w:type="dxa"/>
              <w:bottom w:w="100" w:type="dxa"/>
              <w:right w:w="100" w:type="dxa"/>
            </w:tcMar>
            <w:vAlign w:val="center"/>
          </w:tcPr>
          <w:p w14:paraId="6E13B148" w14:textId="77777777" w:rsidR="006C4F12" w:rsidRDefault="00827A53">
            <w:pPr>
              <w:widowControl w:val="0"/>
              <w:spacing w:line="240" w:lineRule="auto"/>
              <w:jc w:val="center"/>
              <w:rPr>
                <w:sz w:val="18"/>
                <w:szCs w:val="18"/>
              </w:rPr>
            </w:pPr>
            <w:r>
              <w:rPr>
                <w:sz w:val="18"/>
                <w:szCs w:val="18"/>
              </w:rPr>
              <w:t>International Journal of Biometeorology</w:t>
            </w:r>
          </w:p>
        </w:tc>
        <w:tc>
          <w:tcPr>
            <w:tcW w:w="1095" w:type="dxa"/>
            <w:shd w:val="clear" w:color="auto" w:fill="F4CCCC"/>
            <w:tcMar>
              <w:top w:w="100" w:type="dxa"/>
              <w:left w:w="100" w:type="dxa"/>
              <w:bottom w:w="100" w:type="dxa"/>
              <w:right w:w="100" w:type="dxa"/>
            </w:tcMar>
            <w:vAlign w:val="center"/>
          </w:tcPr>
          <w:p w14:paraId="04850AD9" w14:textId="77777777" w:rsidR="006C4F12" w:rsidRDefault="00827A53">
            <w:pPr>
              <w:widowControl w:val="0"/>
              <w:spacing w:line="240" w:lineRule="auto"/>
              <w:jc w:val="center"/>
              <w:rPr>
                <w:sz w:val="18"/>
                <w:szCs w:val="18"/>
              </w:rPr>
            </w:pPr>
            <w:r>
              <w:rPr>
                <w:sz w:val="18"/>
                <w:szCs w:val="18"/>
              </w:rPr>
              <w:t>2013</w:t>
            </w:r>
          </w:p>
        </w:tc>
        <w:tc>
          <w:tcPr>
            <w:tcW w:w="660" w:type="dxa"/>
            <w:shd w:val="clear" w:color="auto" w:fill="F4CCCC"/>
            <w:tcMar>
              <w:top w:w="100" w:type="dxa"/>
              <w:left w:w="100" w:type="dxa"/>
              <w:bottom w:w="100" w:type="dxa"/>
              <w:right w:w="100" w:type="dxa"/>
            </w:tcMar>
            <w:vAlign w:val="center"/>
          </w:tcPr>
          <w:p w14:paraId="7EFDEBB0" w14:textId="77777777" w:rsidR="006C4F12" w:rsidRDefault="00827A53">
            <w:pPr>
              <w:widowControl w:val="0"/>
              <w:spacing w:line="240" w:lineRule="auto"/>
              <w:jc w:val="center"/>
              <w:rPr>
                <w:sz w:val="18"/>
                <w:szCs w:val="18"/>
              </w:rPr>
            </w:pPr>
            <w:r>
              <w:rPr>
                <w:sz w:val="18"/>
                <w:szCs w:val="18"/>
              </w:rPr>
              <w:t>1994 - 2009</w:t>
            </w:r>
          </w:p>
        </w:tc>
        <w:tc>
          <w:tcPr>
            <w:tcW w:w="1080" w:type="dxa"/>
            <w:shd w:val="clear" w:color="auto" w:fill="F4CCCC"/>
            <w:tcMar>
              <w:top w:w="100" w:type="dxa"/>
              <w:left w:w="100" w:type="dxa"/>
              <w:bottom w:w="100" w:type="dxa"/>
              <w:right w:w="100" w:type="dxa"/>
            </w:tcMar>
            <w:vAlign w:val="center"/>
          </w:tcPr>
          <w:p w14:paraId="6E47BC5D" w14:textId="77777777" w:rsidR="006C4F12" w:rsidRDefault="00827A53">
            <w:pPr>
              <w:widowControl w:val="0"/>
              <w:spacing w:line="240" w:lineRule="auto"/>
              <w:jc w:val="center"/>
              <w:rPr>
                <w:sz w:val="18"/>
                <w:szCs w:val="18"/>
              </w:rPr>
            </w:pPr>
            <w:r>
              <w:rPr>
                <w:sz w:val="18"/>
                <w:szCs w:val="18"/>
              </w:rPr>
              <w:t>Czech Republic</w:t>
            </w:r>
          </w:p>
        </w:tc>
        <w:tc>
          <w:tcPr>
            <w:tcW w:w="1065" w:type="dxa"/>
            <w:shd w:val="clear" w:color="auto" w:fill="F4CCCC"/>
            <w:tcMar>
              <w:top w:w="100" w:type="dxa"/>
              <w:left w:w="100" w:type="dxa"/>
              <w:bottom w:w="100" w:type="dxa"/>
              <w:right w:w="100" w:type="dxa"/>
            </w:tcMar>
            <w:vAlign w:val="center"/>
          </w:tcPr>
          <w:p w14:paraId="51123E89" w14:textId="77777777" w:rsidR="006C4F12" w:rsidRDefault="00827A53">
            <w:pPr>
              <w:widowControl w:val="0"/>
              <w:spacing w:line="240" w:lineRule="auto"/>
              <w:jc w:val="center"/>
              <w:rPr>
                <w:sz w:val="18"/>
                <w:szCs w:val="18"/>
              </w:rPr>
            </w:pPr>
            <w:r>
              <w:rPr>
                <w:sz w:val="18"/>
                <w:szCs w:val="18"/>
              </w:rPr>
              <w:t>Daily data</w:t>
            </w:r>
          </w:p>
        </w:tc>
        <w:tc>
          <w:tcPr>
            <w:tcW w:w="5340" w:type="dxa"/>
            <w:shd w:val="clear" w:color="auto" w:fill="F4CCCC"/>
            <w:tcMar>
              <w:top w:w="100" w:type="dxa"/>
              <w:left w:w="100" w:type="dxa"/>
              <w:bottom w:w="100" w:type="dxa"/>
              <w:right w:w="100" w:type="dxa"/>
            </w:tcMar>
            <w:vAlign w:val="center"/>
          </w:tcPr>
          <w:p w14:paraId="43F5E643" w14:textId="77777777" w:rsidR="006C4F12" w:rsidRDefault="00827A53">
            <w:pPr>
              <w:widowControl w:val="0"/>
              <w:spacing w:line="240" w:lineRule="auto"/>
              <w:jc w:val="center"/>
              <w:rPr>
                <w:sz w:val="18"/>
                <w:szCs w:val="18"/>
              </w:rPr>
            </w:pPr>
            <w:r>
              <w:rPr>
                <w:sz w:val="18"/>
                <w:szCs w:val="18"/>
              </w:rPr>
              <w:t xml:space="preserve">The sample consists of 1174618 morbidity counts and 211546 mortality counts. Gender summary statistics are not </w:t>
            </w:r>
            <w:r>
              <w:rPr>
                <w:sz w:val="18"/>
                <w:szCs w:val="18"/>
              </w:rPr>
              <w:t>provided. In both regions and for all groups of diagnoses as well as for individual CVDs except for atherosclerosis, excess mortality was greater in females than males. In females, excess mortality was, in both regions, significant for all groups of diagnoses other than MI.</w:t>
            </w:r>
          </w:p>
        </w:tc>
      </w:tr>
      <w:tr w:rsidR="006C4F12" w14:paraId="5E9FE92F" w14:textId="77777777">
        <w:tc>
          <w:tcPr>
            <w:tcW w:w="1875" w:type="dxa"/>
            <w:shd w:val="clear" w:color="auto" w:fill="F4CCCC"/>
            <w:tcMar>
              <w:top w:w="100" w:type="dxa"/>
              <w:left w:w="100" w:type="dxa"/>
              <w:bottom w:w="100" w:type="dxa"/>
              <w:right w:w="100" w:type="dxa"/>
            </w:tcMar>
            <w:vAlign w:val="center"/>
          </w:tcPr>
          <w:p w14:paraId="56562053" w14:textId="77777777" w:rsidR="006C4F12" w:rsidRDefault="00827A53">
            <w:pPr>
              <w:widowControl w:val="0"/>
              <w:spacing w:line="240" w:lineRule="auto"/>
              <w:jc w:val="center"/>
              <w:rPr>
                <w:sz w:val="18"/>
                <w:szCs w:val="18"/>
              </w:rPr>
            </w:pPr>
            <w:r>
              <w:rPr>
                <w:sz w:val="18"/>
                <w:szCs w:val="18"/>
              </w:rPr>
              <w:t>Susceptibility to mortality related to temperature and heat and cold wave duration in the population of Stockholm County, Sweden</w:t>
            </w:r>
          </w:p>
        </w:tc>
        <w:tc>
          <w:tcPr>
            <w:tcW w:w="915" w:type="dxa"/>
            <w:shd w:val="clear" w:color="auto" w:fill="F4CCCC"/>
            <w:tcMar>
              <w:top w:w="100" w:type="dxa"/>
              <w:left w:w="100" w:type="dxa"/>
              <w:bottom w:w="100" w:type="dxa"/>
              <w:right w:w="100" w:type="dxa"/>
            </w:tcMar>
            <w:vAlign w:val="center"/>
          </w:tcPr>
          <w:p w14:paraId="4122FDFF" w14:textId="77777777" w:rsidR="006C4F12" w:rsidRDefault="00827A53">
            <w:pPr>
              <w:widowControl w:val="0"/>
              <w:spacing w:line="240" w:lineRule="auto"/>
              <w:jc w:val="center"/>
              <w:rPr>
                <w:sz w:val="18"/>
                <w:szCs w:val="18"/>
              </w:rPr>
            </w:pPr>
            <w:proofErr w:type="spellStart"/>
            <w:r>
              <w:rPr>
                <w:sz w:val="18"/>
                <w:szCs w:val="18"/>
              </w:rPr>
              <w:t>Rocklov</w:t>
            </w:r>
            <w:proofErr w:type="spellEnd"/>
            <w:r>
              <w:rPr>
                <w:sz w:val="18"/>
                <w:szCs w:val="18"/>
              </w:rPr>
              <w:t xml:space="preserve"> et al.</w:t>
            </w:r>
          </w:p>
        </w:tc>
        <w:tc>
          <w:tcPr>
            <w:tcW w:w="1020" w:type="dxa"/>
            <w:shd w:val="clear" w:color="auto" w:fill="F4CCCC"/>
            <w:tcMar>
              <w:top w:w="100" w:type="dxa"/>
              <w:left w:w="100" w:type="dxa"/>
              <w:bottom w:w="100" w:type="dxa"/>
              <w:right w:w="100" w:type="dxa"/>
            </w:tcMar>
            <w:vAlign w:val="center"/>
          </w:tcPr>
          <w:p w14:paraId="7677046A" w14:textId="77777777" w:rsidR="006C4F12" w:rsidRDefault="00827A53">
            <w:pPr>
              <w:widowControl w:val="0"/>
              <w:spacing w:line="240" w:lineRule="auto"/>
              <w:jc w:val="center"/>
              <w:rPr>
                <w:sz w:val="18"/>
                <w:szCs w:val="18"/>
              </w:rPr>
            </w:pPr>
            <w:r>
              <w:rPr>
                <w:sz w:val="18"/>
                <w:szCs w:val="18"/>
              </w:rPr>
              <w:t>152</w:t>
            </w:r>
          </w:p>
        </w:tc>
        <w:tc>
          <w:tcPr>
            <w:tcW w:w="1485" w:type="dxa"/>
            <w:shd w:val="clear" w:color="auto" w:fill="F4CCCC"/>
            <w:tcMar>
              <w:top w:w="100" w:type="dxa"/>
              <w:left w:w="100" w:type="dxa"/>
              <w:bottom w:w="100" w:type="dxa"/>
              <w:right w:w="100" w:type="dxa"/>
            </w:tcMar>
            <w:vAlign w:val="center"/>
          </w:tcPr>
          <w:p w14:paraId="4EF13C1C" w14:textId="77777777" w:rsidR="006C4F12" w:rsidRDefault="00827A53">
            <w:pPr>
              <w:widowControl w:val="0"/>
              <w:spacing w:line="240" w:lineRule="auto"/>
              <w:jc w:val="center"/>
              <w:rPr>
                <w:sz w:val="18"/>
                <w:szCs w:val="18"/>
              </w:rPr>
            </w:pPr>
            <w:r>
              <w:rPr>
                <w:sz w:val="18"/>
                <w:szCs w:val="18"/>
              </w:rPr>
              <w:t>Global Health Action</w:t>
            </w:r>
          </w:p>
        </w:tc>
        <w:tc>
          <w:tcPr>
            <w:tcW w:w="1095" w:type="dxa"/>
            <w:shd w:val="clear" w:color="auto" w:fill="F4CCCC"/>
            <w:tcMar>
              <w:top w:w="100" w:type="dxa"/>
              <w:left w:w="100" w:type="dxa"/>
              <w:bottom w:w="100" w:type="dxa"/>
              <w:right w:w="100" w:type="dxa"/>
            </w:tcMar>
            <w:vAlign w:val="center"/>
          </w:tcPr>
          <w:p w14:paraId="179BE3B4" w14:textId="77777777" w:rsidR="006C4F12" w:rsidRDefault="00827A53">
            <w:pPr>
              <w:widowControl w:val="0"/>
              <w:spacing w:line="240" w:lineRule="auto"/>
              <w:jc w:val="center"/>
              <w:rPr>
                <w:sz w:val="18"/>
                <w:szCs w:val="18"/>
              </w:rPr>
            </w:pPr>
            <w:r>
              <w:rPr>
                <w:sz w:val="18"/>
                <w:szCs w:val="18"/>
              </w:rPr>
              <w:t>2014</w:t>
            </w:r>
          </w:p>
        </w:tc>
        <w:tc>
          <w:tcPr>
            <w:tcW w:w="660" w:type="dxa"/>
            <w:shd w:val="clear" w:color="auto" w:fill="F4CCCC"/>
            <w:tcMar>
              <w:top w:w="100" w:type="dxa"/>
              <w:left w:w="100" w:type="dxa"/>
              <w:bottom w:w="100" w:type="dxa"/>
              <w:right w:w="100" w:type="dxa"/>
            </w:tcMar>
            <w:vAlign w:val="center"/>
          </w:tcPr>
          <w:p w14:paraId="527B2896" w14:textId="77777777" w:rsidR="006C4F12" w:rsidRDefault="00827A53">
            <w:pPr>
              <w:widowControl w:val="0"/>
              <w:spacing w:line="240" w:lineRule="auto"/>
              <w:jc w:val="center"/>
              <w:rPr>
                <w:sz w:val="18"/>
                <w:szCs w:val="18"/>
              </w:rPr>
            </w:pPr>
            <w:r>
              <w:rPr>
                <w:sz w:val="18"/>
                <w:szCs w:val="18"/>
              </w:rPr>
              <w:t>1990 - 2002</w:t>
            </w:r>
          </w:p>
        </w:tc>
        <w:tc>
          <w:tcPr>
            <w:tcW w:w="1080" w:type="dxa"/>
            <w:shd w:val="clear" w:color="auto" w:fill="F4CCCC"/>
            <w:tcMar>
              <w:top w:w="100" w:type="dxa"/>
              <w:left w:w="100" w:type="dxa"/>
              <w:bottom w:w="100" w:type="dxa"/>
              <w:right w:w="100" w:type="dxa"/>
            </w:tcMar>
            <w:vAlign w:val="center"/>
          </w:tcPr>
          <w:p w14:paraId="59D0E52C" w14:textId="77777777" w:rsidR="006C4F12" w:rsidRDefault="00827A53">
            <w:pPr>
              <w:widowControl w:val="0"/>
              <w:spacing w:line="240" w:lineRule="auto"/>
              <w:jc w:val="center"/>
              <w:rPr>
                <w:sz w:val="18"/>
                <w:szCs w:val="18"/>
              </w:rPr>
            </w:pPr>
            <w:r>
              <w:rPr>
                <w:sz w:val="18"/>
                <w:szCs w:val="18"/>
              </w:rPr>
              <w:t>Stockholm County, Sweden</w:t>
            </w:r>
          </w:p>
        </w:tc>
        <w:tc>
          <w:tcPr>
            <w:tcW w:w="1065" w:type="dxa"/>
            <w:shd w:val="clear" w:color="auto" w:fill="F4CCCC"/>
            <w:tcMar>
              <w:top w:w="100" w:type="dxa"/>
              <w:left w:w="100" w:type="dxa"/>
              <w:bottom w:w="100" w:type="dxa"/>
              <w:right w:w="100" w:type="dxa"/>
            </w:tcMar>
            <w:vAlign w:val="center"/>
          </w:tcPr>
          <w:p w14:paraId="3DF4AB4A" w14:textId="77777777" w:rsidR="006C4F12" w:rsidRDefault="00827A53">
            <w:pPr>
              <w:widowControl w:val="0"/>
              <w:spacing w:line="240" w:lineRule="auto"/>
              <w:jc w:val="center"/>
              <w:rPr>
                <w:sz w:val="18"/>
                <w:szCs w:val="18"/>
              </w:rPr>
            </w:pPr>
            <w:r>
              <w:rPr>
                <w:sz w:val="18"/>
                <w:szCs w:val="18"/>
              </w:rPr>
              <w:t>Daily data</w:t>
            </w:r>
          </w:p>
        </w:tc>
        <w:tc>
          <w:tcPr>
            <w:tcW w:w="5340" w:type="dxa"/>
            <w:shd w:val="clear" w:color="auto" w:fill="F4CCCC"/>
            <w:tcMar>
              <w:top w:w="100" w:type="dxa"/>
              <w:left w:w="100" w:type="dxa"/>
              <w:bottom w:w="100" w:type="dxa"/>
              <w:right w:w="100" w:type="dxa"/>
            </w:tcMar>
            <w:vAlign w:val="center"/>
          </w:tcPr>
          <w:p w14:paraId="6E5C1BB5" w14:textId="77777777" w:rsidR="006C4F12" w:rsidRDefault="00827A53">
            <w:pPr>
              <w:widowControl w:val="0"/>
              <w:spacing w:line="240" w:lineRule="auto"/>
              <w:jc w:val="center"/>
              <w:rPr>
                <w:sz w:val="18"/>
                <w:szCs w:val="18"/>
              </w:rPr>
            </w:pPr>
            <w:r>
              <w:rPr>
                <w:sz w:val="18"/>
                <w:szCs w:val="18"/>
              </w:rPr>
              <w:t>Mortality data for summer months consists of 44738 deaths, where 20973 cases are males (46.88%) and 23765 cases are females (53.12%).The mortality data for winter months include 51438 deaths, where 23710 are male (46.1%) and 27728 are female (53.91%). The study found strong increases in mortality associated with heat wave duration among the populations less than age 65, with the largest risk increases in women and less wealthy municipalities.</w:t>
            </w:r>
          </w:p>
        </w:tc>
      </w:tr>
      <w:tr w:rsidR="006C4F12" w14:paraId="361516DA" w14:textId="77777777">
        <w:tc>
          <w:tcPr>
            <w:tcW w:w="1875" w:type="dxa"/>
            <w:shd w:val="clear" w:color="auto" w:fill="F4CCCC"/>
            <w:tcMar>
              <w:top w:w="100" w:type="dxa"/>
              <w:left w:w="100" w:type="dxa"/>
              <w:bottom w:w="100" w:type="dxa"/>
              <w:right w:w="100" w:type="dxa"/>
            </w:tcMar>
            <w:vAlign w:val="center"/>
          </w:tcPr>
          <w:p w14:paraId="37C1A8A2" w14:textId="77777777" w:rsidR="006C4F12" w:rsidRDefault="00827A53">
            <w:pPr>
              <w:widowControl w:val="0"/>
              <w:spacing w:line="240" w:lineRule="auto"/>
              <w:jc w:val="center"/>
              <w:rPr>
                <w:sz w:val="18"/>
                <w:szCs w:val="18"/>
              </w:rPr>
            </w:pPr>
            <w:r>
              <w:rPr>
                <w:sz w:val="18"/>
                <w:szCs w:val="18"/>
              </w:rPr>
              <w:lastRenderedPageBreak/>
              <w:t>The impact of heatwaves on mortality in Australia: a multicity study</w:t>
            </w:r>
          </w:p>
        </w:tc>
        <w:tc>
          <w:tcPr>
            <w:tcW w:w="915" w:type="dxa"/>
            <w:shd w:val="clear" w:color="auto" w:fill="F4CCCC"/>
            <w:tcMar>
              <w:top w:w="100" w:type="dxa"/>
              <w:left w:w="100" w:type="dxa"/>
              <w:bottom w:w="100" w:type="dxa"/>
              <w:right w:w="100" w:type="dxa"/>
            </w:tcMar>
            <w:vAlign w:val="center"/>
          </w:tcPr>
          <w:p w14:paraId="1B6F32A9" w14:textId="77777777" w:rsidR="006C4F12" w:rsidRDefault="00827A53">
            <w:pPr>
              <w:widowControl w:val="0"/>
              <w:spacing w:line="240" w:lineRule="auto"/>
              <w:jc w:val="center"/>
              <w:rPr>
                <w:sz w:val="18"/>
                <w:szCs w:val="18"/>
              </w:rPr>
            </w:pPr>
            <w:r>
              <w:rPr>
                <w:sz w:val="18"/>
                <w:szCs w:val="18"/>
              </w:rPr>
              <w:t>Tong et al.</w:t>
            </w:r>
          </w:p>
        </w:tc>
        <w:tc>
          <w:tcPr>
            <w:tcW w:w="1020" w:type="dxa"/>
            <w:shd w:val="clear" w:color="auto" w:fill="F4CCCC"/>
            <w:tcMar>
              <w:top w:w="100" w:type="dxa"/>
              <w:left w:w="100" w:type="dxa"/>
              <w:bottom w:w="100" w:type="dxa"/>
              <w:right w:w="100" w:type="dxa"/>
            </w:tcMar>
            <w:vAlign w:val="center"/>
          </w:tcPr>
          <w:p w14:paraId="13F72EC6" w14:textId="77777777" w:rsidR="006C4F12" w:rsidRDefault="00827A53">
            <w:pPr>
              <w:widowControl w:val="0"/>
              <w:spacing w:line="240" w:lineRule="auto"/>
              <w:jc w:val="center"/>
              <w:rPr>
                <w:sz w:val="18"/>
                <w:szCs w:val="18"/>
              </w:rPr>
            </w:pPr>
            <w:r>
              <w:rPr>
                <w:sz w:val="18"/>
                <w:szCs w:val="18"/>
              </w:rPr>
              <w:t>121</w:t>
            </w:r>
          </w:p>
        </w:tc>
        <w:tc>
          <w:tcPr>
            <w:tcW w:w="1485" w:type="dxa"/>
            <w:shd w:val="clear" w:color="auto" w:fill="F4CCCC"/>
            <w:tcMar>
              <w:top w:w="100" w:type="dxa"/>
              <w:left w:w="100" w:type="dxa"/>
              <w:bottom w:w="100" w:type="dxa"/>
              <w:right w:w="100" w:type="dxa"/>
            </w:tcMar>
            <w:vAlign w:val="center"/>
          </w:tcPr>
          <w:p w14:paraId="0CCA304F" w14:textId="77777777" w:rsidR="006C4F12" w:rsidRDefault="00827A53">
            <w:pPr>
              <w:widowControl w:val="0"/>
              <w:spacing w:line="240" w:lineRule="auto"/>
              <w:jc w:val="center"/>
              <w:rPr>
                <w:sz w:val="18"/>
                <w:szCs w:val="18"/>
              </w:rPr>
            </w:pPr>
            <w:r>
              <w:rPr>
                <w:sz w:val="18"/>
                <w:szCs w:val="18"/>
              </w:rPr>
              <w:t>BMJ Open</w:t>
            </w:r>
          </w:p>
        </w:tc>
        <w:tc>
          <w:tcPr>
            <w:tcW w:w="1095" w:type="dxa"/>
            <w:shd w:val="clear" w:color="auto" w:fill="F4CCCC"/>
            <w:tcMar>
              <w:top w:w="100" w:type="dxa"/>
              <w:left w:w="100" w:type="dxa"/>
              <w:bottom w:w="100" w:type="dxa"/>
              <w:right w:w="100" w:type="dxa"/>
            </w:tcMar>
            <w:vAlign w:val="center"/>
          </w:tcPr>
          <w:p w14:paraId="43ABFA06" w14:textId="77777777" w:rsidR="006C4F12" w:rsidRDefault="00827A53">
            <w:pPr>
              <w:widowControl w:val="0"/>
              <w:spacing w:line="240" w:lineRule="auto"/>
              <w:jc w:val="center"/>
              <w:rPr>
                <w:sz w:val="18"/>
                <w:szCs w:val="18"/>
              </w:rPr>
            </w:pPr>
            <w:r>
              <w:rPr>
                <w:sz w:val="18"/>
                <w:szCs w:val="18"/>
              </w:rPr>
              <w:t>2014</w:t>
            </w:r>
          </w:p>
        </w:tc>
        <w:tc>
          <w:tcPr>
            <w:tcW w:w="660" w:type="dxa"/>
            <w:shd w:val="clear" w:color="auto" w:fill="F4CCCC"/>
            <w:tcMar>
              <w:top w:w="100" w:type="dxa"/>
              <w:left w:w="100" w:type="dxa"/>
              <w:bottom w:w="100" w:type="dxa"/>
              <w:right w:w="100" w:type="dxa"/>
            </w:tcMar>
            <w:vAlign w:val="center"/>
          </w:tcPr>
          <w:p w14:paraId="37A3A247" w14:textId="77777777" w:rsidR="006C4F12" w:rsidRDefault="00827A53">
            <w:pPr>
              <w:widowControl w:val="0"/>
              <w:spacing w:line="240" w:lineRule="auto"/>
              <w:jc w:val="center"/>
              <w:rPr>
                <w:sz w:val="18"/>
                <w:szCs w:val="18"/>
              </w:rPr>
            </w:pPr>
            <w:r>
              <w:rPr>
                <w:sz w:val="18"/>
                <w:szCs w:val="18"/>
              </w:rPr>
              <w:t>1988 - 2009</w:t>
            </w:r>
          </w:p>
        </w:tc>
        <w:tc>
          <w:tcPr>
            <w:tcW w:w="1080" w:type="dxa"/>
            <w:shd w:val="clear" w:color="auto" w:fill="F4CCCC"/>
            <w:tcMar>
              <w:top w:w="100" w:type="dxa"/>
              <w:left w:w="100" w:type="dxa"/>
              <w:bottom w:w="100" w:type="dxa"/>
              <w:right w:w="100" w:type="dxa"/>
            </w:tcMar>
            <w:vAlign w:val="center"/>
          </w:tcPr>
          <w:p w14:paraId="1B955F6D" w14:textId="77777777" w:rsidR="006C4F12" w:rsidRDefault="00827A53">
            <w:pPr>
              <w:widowControl w:val="0"/>
              <w:spacing w:line="240" w:lineRule="auto"/>
              <w:jc w:val="center"/>
              <w:rPr>
                <w:sz w:val="18"/>
                <w:szCs w:val="18"/>
              </w:rPr>
            </w:pPr>
            <w:r>
              <w:rPr>
                <w:sz w:val="18"/>
                <w:szCs w:val="18"/>
              </w:rPr>
              <w:t>Three Major Cities in Australia</w:t>
            </w:r>
          </w:p>
        </w:tc>
        <w:tc>
          <w:tcPr>
            <w:tcW w:w="1065" w:type="dxa"/>
            <w:shd w:val="clear" w:color="auto" w:fill="F4CCCC"/>
            <w:tcMar>
              <w:top w:w="100" w:type="dxa"/>
              <w:left w:w="100" w:type="dxa"/>
              <w:bottom w:w="100" w:type="dxa"/>
              <w:right w:w="100" w:type="dxa"/>
            </w:tcMar>
            <w:vAlign w:val="center"/>
          </w:tcPr>
          <w:p w14:paraId="4C7AA613" w14:textId="77777777" w:rsidR="006C4F12" w:rsidRDefault="00827A53">
            <w:pPr>
              <w:widowControl w:val="0"/>
              <w:spacing w:line="240" w:lineRule="auto"/>
              <w:jc w:val="center"/>
              <w:rPr>
                <w:sz w:val="18"/>
                <w:szCs w:val="18"/>
              </w:rPr>
            </w:pPr>
            <w:r>
              <w:rPr>
                <w:sz w:val="18"/>
                <w:szCs w:val="18"/>
              </w:rPr>
              <w:t>Daily data</w:t>
            </w:r>
          </w:p>
        </w:tc>
        <w:tc>
          <w:tcPr>
            <w:tcW w:w="5340" w:type="dxa"/>
            <w:shd w:val="clear" w:color="auto" w:fill="F4CCCC"/>
            <w:tcMar>
              <w:top w:w="100" w:type="dxa"/>
              <w:left w:w="100" w:type="dxa"/>
              <w:bottom w:w="100" w:type="dxa"/>
              <w:right w:w="100" w:type="dxa"/>
            </w:tcMar>
            <w:vAlign w:val="center"/>
          </w:tcPr>
          <w:p w14:paraId="1841F9B3" w14:textId="77777777" w:rsidR="006C4F12" w:rsidRDefault="00827A53">
            <w:pPr>
              <w:widowControl w:val="0"/>
              <w:spacing w:line="240" w:lineRule="auto"/>
              <w:jc w:val="center"/>
              <w:rPr>
                <w:sz w:val="18"/>
                <w:szCs w:val="18"/>
              </w:rPr>
            </w:pPr>
            <w:r>
              <w:rPr>
                <w:sz w:val="18"/>
                <w:szCs w:val="18"/>
              </w:rPr>
              <w:t xml:space="preserve">Summary statistics of the mortality data are not provided. The 1988-2009 averaged summer months' mortality counts of the three cities are 71 for males and 68 for </w:t>
            </w:r>
            <w:r>
              <w:rPr>
                <w:sz w:val="18"/>
                <w:szCs w:val="18"/>
              </w:rPr>
              <w:t>females. Heatwaves also appeared to have a greater impact on females and total mortality. For example, the relative risk (RR) for total mortality in Brisbane, Melbourne and Sydney was 1.13 (95% CI 1.08 to 1.19), 1.10 (95% CI 1.06 to 1.14) and 1.06 (95% CI 1.01 to 1.10), respectively, at lag 1.</w:t>
            </w:r>
          </w:p>
        </w:tc>
      </w:tr>
    </w:tbl>
    <w:p w14:paraId="621A8654" w14:textId="77777777" w:rsidR="006C4F12" w:rsidRDefault="006C4F12">
      <w:pPr>
        <w:spacing w:line="240" w:lineRule="auto"/>
        <w:rPr>
          <w:b/>
          <w:sz w:val="20"/>
          <w:szCs w:val="20"/>
        </w:rPr>
      </w:pPr>
    </w:p>
    <w:p w14:paraId="2EA03C41" w14:textId="00BB2985" w:rsidR="006C4F12" w:rsidRDefault="00827A53">
      <w:pPr>
        <w:spacing w:line="240" w:lineRule="auto"/>
      </w:pPr>
      <w:r>
        <w:rPr>
          <w:b/>
          <w:sz w:val="20"/>
          <w:szCs w:val="20"/>
        </w:rPr>
        <w:t xml:space="preserve">Table S.1 Selected studies of temperature-related mortality from Global North. Studies with gender-stratified models that were conducted after 2010 with more than 100 citations are selected from the review paper </w:t>
      </w:r>
      <w:proofErr w:type="spellStart"/>
      <w:r>
        <w:rPr>
          <w:b/>
          <w:sz w:val="20"/>
          <w:szCs w:val="20"/>
        </w:rPr>
        <w:t>Benmarhnia</w:t>
      </w:r>
      <w:proofErr w:type="spellEnd"/>
      <w:r>
        <w:rPr>
          <w:b/>
          <w:sz w:val="20"/>
          <w:szCs w:val="20"/>
        </w:rPr>
        <w:t xml:space="preserve"> et al. (2015)</w:t>
      </w:r>
      <w:r w:rsidR="00715E9D">
        <w:rPr>
          <w:rFonts w:hint="eastAsia"/>
          <w:b/>
          <w:sz w:val="20"/>
          <w:szCs w:val="20"/>
          <w:vertAlign w:val="superscript"/>
          <w:lang w:eastAsia="zh-TW"/>
        </w:rPr>
        <w:t>1</w:t>
      </w:r>
      <w:r>
        <w:rPr>
          <w:b/>
          <w:sz w:val="20"/>
          <w:szCs w:val="20"/>
        </w:rPr>
        <w:t>, yielding five studies. Four of the five studies (colored in pink) concluded women are at higher risk of mortality in extreme temperatures. One of the five studies reported no gender differences (shaded in gray).</w:t>
      </w:r>
    </w:p>
    <w:p w14:paraId="54344721" w14:textId="77777777" w:rsidR="006C4F12" w:rsidRDefault="006C4F12">
      <w:pPr>
        <w:rPr>
          <w:b/>
        </w:rPr>
      </w:pPr>
    </w:p>
    <w:p w14:paraId="74999BB2" w14:textId="77777777" w:rsidR="006C4F12" w:rsidRDefault="006C4F12"/>
    <w:tbl>
      <w:tblPr>
        <w:tblStyle w:val="a0"/>
        <w:tblW w:w="14565"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930"/>
        <w:gridCol w:w="1050"/>
        <w:gridCol w:w="1515"/>
        <w:gridCol w:w="1065"/>
        <w:gridCol w:w="705"/>
        <w:gridCol w:w="1260"/>
        <w:gridCol w:w="1110"/>
        <w:gridCol w:w="5115"/>
      </w:tblGrid>
      <w:tr w:rsidR="006C4F12" w14:paraId="35F7CE18" w14:textId="77777777">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3F6EC48" w14:textId="77777777" w:rsidR="006C4F12" w:rsidRDefault="00827A53">
            <w:pPr>
              <w:widowControl w:val="0"/>
              <w:jc w:val="center"/>
              <w:rPr>
                <w:b/>
                <w:sz w:val="18"/>
                <w:szCs w:val="18"/>
              </w:rPr>
            </w:pPr>
            <w:r>
              <w:rPr>
                <w:b/>
                <w:sz w:val="18"/>
                <w:szCs w:val="18"/>
              </w:rPr>
              <w:t>Title</w:t>
            </w:r>
          </w:p>
        </w:tc>
        <w:tc>
          <w:tcPr>
            <w:tcW w:w="9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2D3604B" w14:textId="77777777" w:rsidR="006C4F12" w:rsidRDefault="00827A53">
            <w:pPr>
              <w:widowControl w:val="0"/>
              <w:jc w:val="center"/>
              <w:rPr>
                <w:b/>
                <w:sz w:val="18"/>
                <w:szCs w:val="18"/>
              </w:rPr>
            </w:pPr>
            <w:r>
              <w:rPr>
                <w:b/>
                <w:sz w:val="18"/>
                <w:szCs w:val="18"/>
              </w:rPr>
              <w:t>Authors</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2220ACB" w14:textId="77777777" w:rsidR="006C4F12" w:rsidRDefault="00827A53">
            <w:pPr>
              <w:widowControl w:val="0"/>
              <w:jc w:val="center"/>
              <w:rPr>
                <w:b/>
                <w:sz w:val="18"/>
                <w:szCs w:val="18"/>
              </w:rPr>
            </w:pPr>
            <w:r>
              <w:rPr>
                <w:b/>
                <w:sz w:val="18"/>
                <w:szCs w:val="18"/>
              </w:rPr>
              <w:t>Citations</w:t>
            </w:r>
          </w:p>
        </w:tc>
        <w:tc>
          <w:tcPr>
            <w:tcW w:w="15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F04D6A6" w14:textId="77777777" w:rsidR="006C4F12" w:rsidRDefault="00827A53">
            <w:pPr>
              <w:widowControl w:val="0"/>
              <w:jc w:val="center"/>
              <w:rPr>
                <w:b/>
                <w:sz w:val="18"/>
                <w:szCs w:val="18"/>
              </w:rPr>
            </w:pPr>
            <w:r>
              <w:rPr>
                <w:b/>
                <w:sz w:val="18"/>
                <w:szCs w:val="18"/>
              </w:rPr>
              <w:t>Journal</w:t>
            </w:r>
          </w:p>
        </w:tc>
        <w:tc>
          <w:tcPr>
            <w:tcW w:w="106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7AB9464" w14:textId="77777777" w:rsidR="006C4F12" w:rsidRDefault="00827A53">
            <w:pPr>
              <w:widowControl w:val="0"/>
              <w:jc w:val="center"/>
              <w:rPr>
                <w:b/>
                <w:sz w:val="18"/>
                <w:szCs w:val="18"/>
              </w:rPr>
            </w:pPr>
            <w:r>
              <w:rPr>
                <w:b/>
                <w:sz w:val="18"/>
                <w:szCs w:val="18"/>
              </w:rPr>
              <w:t>Publication Year</w:t>
            </w:r>
          </w:p>
        </w:tc>
        <w:tc>
          <w:tcPr>
            <w:tcW w:w="70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C68A45B" w14:textId="77777777" w:rsidR="006C4F12" w:rsidRDefault="00827A53">
            <w:pPr>
              <w:widowControl w:val="0"/>
              <w:jc w:val="center"/>
              <w:rPr>
                <w:b/>
                <w:sz w:val="18"/>
                <w:szCs w:val="18"/>
              </w:rPr>
            </w:pPr>
            <w:r>
              <w:rPr>
                <w:b/>
                <w:sz w:val="18"/>
                <w:szCs w:val="18"/>
              </w:rPr>
              <w:t xml:space="preserve">Study </w:t>
            </w:r>
            <w:r>
              <w:rPr>
                <w:b/>
                <w:sz w:val="18"/>
                <w:szCs w:val="18"/>
              </w:rPr>
              <w:t>Year</w:t>
            </w:r>
          </w:p>
        </w:tc>
        <w:tc>
          <w:tcPr>
            <w:tcW w:w="12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57623B5" w14:textId="77777777" w:rsidR="006C4F12" w:rsidRDefault="00827A53">
            <w:pPr>
              <w:widowControl w:val="0"/>
              <w:jc w:val="center"/>
              <w:rPr>
                <w:b/>
                <w:sz w:val="18"/>
                <w:szCs w:val="18"/>
              </w:rPr>
            </w:pPr>
            <w:r>
              <w:rPr>
                <w:b/>
                <w:sz w:val="18"/>
                <w:szCs w:val="18"/>
              </w:rPr>
              <w:t>Study Region</w:t>
            </w:r>
          </w:p>
        </w:tc>
        <w:tc>
          <w:tcPr>
            <w:tcW w:w="111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04498C5" w14:textId="77777777" w:rsidR="006C4F12" w:rsidRDefault="00827A53">
            <w:pPr>
              <w:widowControl w:val="0"/>
              <w:jc w:val="center"/>
              <w:rPr>
                <w:b/>
                <w:sz w:val="18"/>
                <w:szCs w:val="18"/>
              </w:rPr>
            </w:pPr>
            <w:r>
              <w:rPr>
                <w:b/>
                <w:sz w:val="18"/>
                <w:szCs w:val="18"/>
              </w:rPr>
              <w:t>Data Granularity</w:t>
            </w:r>
          </w:p>
        </w:tc>
        <w:tc>
          <w:tcPr>
            <w:tcW w:w="5115" w:type="dxa"/>
            <w:tcBorders>
              <w:left w:val="single" w:sz="5" w:space="0" w:color="000000"/>
            </w:tcBorders>
            <w:shd w:val="clear" w:color="auto" w:fill="auto"/>
            <w:tcMar>
              <w:top w:w="100" w:type="dxa"/>
              <w:left w:w="100" w:type="dxa"/>
              <w:bottom w:w="100" w:type="dxa"/>
              <w:right w:w="100" w:type="dxa"/>
            </w:tcMar>
            <w:vAlign w:val="center"/>
          </w:tcPr>
          <w:p w14:paraId="02A57205" w14:textId="77777777" w:rsidR="006C4F12" w:rsidRDefault="00827A53">
            <w:pPr>
              <w:widowControl w:val="0"/>
              <w:spacing w:line="240" w:lineRule="auto"/>
              <w:jc w:val="center"/>
              <w:rPr>
                <w:b/>
                <w:sz w:val="18"/>
                <w:szCs w:val="18"/>
              </w:rPr>
            </w:pPr>
            <w:r>
              <w:rPr>
                <w:b/>
                <w:sz w:val="18"/>
                <w:szCs w:val="18"/>
              </w:rPr>
              <w:t>Temperature Effects</w:t>
            </w:r>
          </w:p>
          <w:p w14:paraId="2013E2FD" w14:textId="77777777" w:rsidR="006C4F12" w:rsidRDefault="00827A53">
            <w:pPr>
              <w:widowControl w:val="0"/>
              <w:spacing w:line="240" w:lineRule="auto"/>
              <w:jc w:val="center"/>
              <w:rPr>
                <w:b/>
                <w:sz w:val="18"/>
                <w:szCs w:val="18"/>
              </w:rPr>
            </w:pPr>
            <w:r>
              <w:rPr>
                <w:b/>
                <w:sz w:val="18"/>
                <w:szCs w:val="18"/>
              </w:rPr>
              <w:t xml:space="preserve"> on Gender</w:t>
            </w:r>
          </w:p>
        </w:tc>
      </w:tr>
      <w:tr w:rsidR="006C4F12" w14:paraId="2D741F7A" w14:textId="77777777">
        <w:trPr>
          <w:trHeight w:val="1643"/>
        </w:trPr>
        <w:tc>
          <w:tcPr>
            <w:tcW w:w="1815" w:type="dxa"/>
            <w:shd w:val="clear" w:color="auto" w:fill="CFE2F3"/>
            <w:tcMar>
              <w:top w:w="100" w:type="dxa"/>
              <w:left w:w="100" w:type="dxa"/>
              <w:bottom w:w="100" w:type="dxa"/>
              <w:right w:w="100" w:type="dxa"/>
            </w:tcMar>
            <w:vAlign w:val="center"/>
          </w:tcPr>
          <w:p w14:paraId="7EAA3273" w14:textId="77777777" w:rsidR="006C4F12" w:rsidRDefault="00827A53">
            <w:pPr>
              <w:widowControl w:val="0"/>
              <w:spacing w:line="240" w:lineRule="auto"/>
              <w:jc w:val="center"/>
              <w:rPr>
                <w:sz w:val="18"/>
                <w:szCs w:val="18"/>
              </w:rPr>
            </w:pPr>
            <w:r>
              <w:rPr>
                <w:sz w:val="18"/>
                <w:szCs w:val="18"/>
              </w:rPr>
              <w:t>Vulnerability to heat-related mortality in Latin America: a case-crossover study in São Paulo, Brazil, Santiago, Chile and Mexico City, Mexico</w:t>
            </w:r>
          </w:p>
        </w:tc>
        <w:tc>
          <w:tcPr>
            <w:tcW w:w="930" w:type="dxa"/>
            <w:shd w:val="clear" w:color="auto" w:fill="CFE2F3"/>
            <w:tcMar>
              <w:top w:w="100" w:type="dxa"/>
              <w:left w:w="100" w:type="dxa"/>
              <w:bottom w:w="100" w:type="dxa"/>
              <w:right w:w="100" w:type="dxa"/>
            </w:tcMar>
            <w:vAlign w:val="center"/>
          </w:tcPr>
          <w:p w14:paraId="625E6DC5" w14:textId="77777777" w:rsidR="006C4F12" w:rsidRDefault="00827A53">
            <w:pPr>
              <w:widowControl w:val="0"/>
              <w:spacing w:line="240" w:lineRule="auto"/>
              <w:jc w:val="center"/>
              <w:rPr>
                <w:sz w:val="18"/>
                <w:szCs w:val="18"/>
              </w:rPr>
            </w:pPr>
            <w:r>
              <w:rPr>
                <w:sz w:val="18"/>
                <w:szCs w:val="18"/>
              </w:rPr>
              <w:t>Bell et al.</w:t>
            </w:r>
          </w:p>
        </w:tc>
        <w:tc>
          <w:tcPr>
            <w:tcW w:w="1050" w:type="dxa"/>
            <w:shd w:val="clear" w:color="auto" w:fill="CFE2F3"/>
            <w:tcMar>
              <w:top w:w="100" w:type="dxa"/>
              <w:left w:w="100" w:type="dxa"/>
              <w:bottom w:w="100" w:type="dxa"/>
              <w:right w:w="100" w:type="dxa"/>
            </w:tcMar>
            <w:vAlign w:val="center"/>
          </w:tcPr>
          <w:p w14:paraId="5BA6127B" w14:textId="77777777" w:rsidR="006C4F12" w:rsidRDefault="00827A53">
            <w:pPr>
              <w:widowControl w:val="0"/>
              <w:spacing w:line="240" w:lineRule="auto"/>
              <w:jc w:val="center"/>
              <w:rPr>
                <w:sz w:val="18"/>
                <w:szCs w:val="18"/>
              </w:rPr>
            </w:pPr>
            <w:r>
              <w:rPr>
                <w:sz w:val="18"/>
                <w:szCs w:val="18"/>
              </w:rPr>
              <w:t>345</w:t>
            </w:r>
          </w:p>
        </w:tc>
        <w:tc>
          <w:tcPr>
            <w:tcW w:w="1515" w:type="dxa"/>
            <w:shd w:val="clear" w:color="auto" w:fill="CFE2F3"/>
            <w:tcMar>
              <w:top w:w="100" w:type="dxa"/>
              <w:left w:w="100" w:type="dxa"/>
              <w:bottom w:w="100" w:type="dxa"/>
              <w:right w:w="100" w:type="dxa"/>
            </w:tcMar>
            <w:vAlign w:val="center"/>
          </w:tcPr>
          <w:p w14:paraId="0D1FD273" w14:textId="77777777" w:rsidR="006C4F12" w:rsidRDefault="00827A53">
            <w:pPr>
              <w:widowControl w:val="0"/>
              <w:spacing w:line="240" w:lineRule="auto"/>
              <w:jc w:val="center"/>
              <w:rPr>
                <w:sz w:val="18"/>
                <w:szCs w:val="18"/>
              </w:rPr>
            </w:pPr>
            <w:r>
              <w:rPr>
                <w:sz w:val="18"/>
                <w:szCs w:val="18"/>
              </w:rPr>
              <w:t xml:space="preserve">International journal of </w:t>
            </w:r>
            <w:r>
              <w:rPr>
                <w:sz w:val="18"/>
                <w:szCs w:val="18"/>
              </w:rPr>
              <w:t>epidemiology</w:t>
            </w:r>
          </w:p>
        </w:tc>
        <w:tc>
          <w:tcPr>
            <w:tcW w:w="1065" w:type="dxa"/>
            <w:shd w:val="clear" w:color="auto" w:fill="CFE2F3"/>
            <w:tcMar>
              <w:top w:w="100" w:type="dxa"/>
              <w:left w:w="100" w:type="dxa"/>
              <w:bottom w:w="100" w:type="dxa"/>
              <w:right w:w="100" w:type="dxa"/>
            </w:tcMar>
            <w:vAlign w:val="center"/>
          </w:tcPr>
          <w:p w14:paraId="18D9507C" w14:textId="77777777" w:rsidR="006C4F12" w:rsidRDefault="00827A53">
            <w:pPr>
              <w:widowControl w:val="0"/>
              <w:spacing w:line="240" w:lineRule="auto"/>
              <w:jc w:val="center"/>
              <w:rPr>
                <w:sz w:val="18"/>
                <w:szCs w:val="18"/>
              </w:rPr>
            </w:pPr>
            <w:r>
              <w:rPr>
                <w:sz w:val="18"/>
                <w:szCs w:val="18"/>
              </w:rPr>
              <w:t>2008</w:t>
            </w:r>
          </w:p>
        </w:tc>
        <w:tc>
          <w:tcPr>
            <w:tcW w:w="705" w:type="dxa"/>
            <w:shd w:val="clear" w:color="auto" w:fill="CFE2F3"/>
            <w:tcMar>
              <w:top w:w="100" w:type="dxa"/>
              <w:left w:w="100" w:type="dxa"/>
              <w:bottom w:w="100" w:type="dxa"/>
              <w:right w:w="100" w:type="dxa"/>
            </w:tcMar>
            <w:vAlign w:val="center"/>
          </w:tcPr>
          <w:p w14:paraId="63F15C31" w14:textId="77777777" w:rsidR="006C4F12" w:rsidRDefault="00827A53">
            <w:pPr>
              <w:widowControl w:val="0"/>
              <w:spacing w:line="240" w:lineRule="auto"/>
              <w:jc w:val="center"/>
              <w:rPr>
                <w:sz w:val="18"/>
                <w:szCs w:val="18"/>
              </w:rPr>
            </w:pPr>
            <w:r>
              <w:rPr>
                <w:sz w:val="18"/>
                <w:szCs w:val="18"/>
              </w:rPr>
              <w:t xml:space="preserve">1998 - 2002 </w:t>
            </w:r>
          </w:p>
        </w:tc>
        <w:tc>
          <w:tcPr>
            <w:tcW w:w="1260" w:type="dxa"/>
            <w:shd w:val="clear" w:color="auto" w:fill="CFE2F3"/>
            <w:tcMar>
              <w:top w:w="100" w:type="dxa"/>
              <w:left w:w="100" w:type="dxa"/>
              <w:bottom w:w="100" w:type="dxa"/>
              <w:right w:w="100" w:type="dxa"/>
            </w:tcMar>
            <w:vAlign w:val="center"/>
          </w:tcPr>
          <w:p w14:paraId="3D6AB804" w14:textId="77777777" w:rsidR="006C4F12" w:rsidRDefault="00827A53">
            <w:pPr>
              <w:widowControl w:val="0"/>
              <w:spacing w:line="240" w:lineRule="auto"/>
              <w:jc w:val="center"/>
              <w:rPr>
                <w:sz w:val="18"/>
                <w:szCs w:val="18"/>
              </w:rPr>
            </w:pPr>
            <w:r>
              <w:rPr>
                <w:sz w:val="18"/>
                <w:szCs w:val="18"/>
              </w:rPr>
              <w:t>São Paulo, Brazil, Santiago, Chile, and Mexico City, Mexico</w:t>
            </w:r>
          </w:p>
          <w:p w14:paraId="422240BA" w14:textId="77777777" w:rsidR="006C4F12" w:rsidRDefault="006C4F12">
            <w:pPr>
              <w:widowControl w:val="0"/>
              <w:spacing w:line="240" w:lineRule="auto"/>
              <w:jc w:val="center"/>
              <w:rPr>
                <w:sz w:val="18"/>
                <w:szCs w:val="18"/>
              </w:rPr>
            </w:pPr>
          </w:p>
        </w:tc>
        <w:tc>
          <w:tcPr>
            <w:tcW w:w="1110" w:type="dxa"/>
            <w:shd w:val="clear" w:color="auto" w:fill="CFE2F3"/>
            <w:tcMar>
              <w:top w:w="100" w:type="dxa"/>
              <w:left w:w="100" w:type="dxa"/>
              <w:bottom w:w="100" w:type="dxa"/>
              <w:right w:w="100" w:type="dxa"/>
            </w:tcMar>
            <w:vAlign w:val="center"/>
          </w:tcPr>
          <w:p w14:paraId="371A0027" w14:textId="77777777" w:rsidR="006C4F12" w:rsidRDefault="00827A53">
            <w:pPr>
              <w:widowControl w:val="0"/>
              <w:spacing w:line="240" w:lineRule="auto"/>
              <w:jc w:val="center"/>
              <w:rPr>
                <w:sz w:val="18"/>
                <w:szCs w:val="18"/>
              </w:rPr>
            </w:pPr>
            <w:r>
              <w:rPr>
                <w:sz w:val="18"/>
                <w:szCs w:val="18"/>
              </w:rPr>
              <w:t>Daily data</w:t>
            </w:r>
          </w:p>
        </w:tc>
        <w:tc>
          <w:tcPr>
            <w:tcW w:w="5115" w:type="dxa"/>
            <w:shd w:val="clear" w:color="auto" w:fill="CFE2F3"/>
            <w:tcMar>
              <w:top w:w="100" w:type="dxa"/>
              <w:left w:w="100" w:type="dxa"/>
              <w:bottom w:w="100" w:type="dxa"/>
              <w:right w:w="100" w:type="dxa"/>
            </w:tcMar>
            <w:vAlign w:val="center"/>
          </w:tcPr>
          <w:p w14:paraId="7B84B72C" w14:textId="77777777" w:rsidR="006C4F12" w:rsidRPr="00477625" w:rsidRDefault="00827A53">
            <w:pPr>
              <w:widowControl w:val="0"/>
              <w:spacing w:line="240" w:lineRule="auto"/>
              <w:jc w:val="center"/>
              <w:rPr>
                <w:sz w:val="18"/>
                <w:szCs w:val="18"/>
              </w:rPr>
            </w:pPr>
            <w:r w:rsidRPr="00477625">
              <w:rPr>
                <w:rFonts w:eastAsia="Arial Unicode MS"/>
                <w:sz w:val="18"/>
                <w:szCs w:val="18"/>
              </w:rPr>
              <w:t xml:space="preserve">A total of 754291 deaths were included. </w:t>
            </w:r>
            <w:proofErr w:type="spellStart"/>
            <w:r w:rsidRPr="00827A53">
              <w:rPr>
                <w:rFonts w:eastAsia="Arial Unicode MS"/>
                <w:sz w:val="18"/>
                <w:szCs w:val="18"/>
                <w:lang w:val="it-IT"/>
              </w:rPr>
              <w:t>There</w:t>
            </w:r>
            <w:proofErr w:type="spellEnd"/>
            <w:r w:rsidRPr="00827A53">
              <w:rPr>
                <w:rFonts w:eastAsia="Arial Unicode MS"/>
                <w:sz w:val="18"/>
                <w:szCs w:val="18"/>
                <w:lang w:val="it-IT"/>
              </w:rPr>
              <w:t xml:space="preserve"> are 51.1% male data in Santiago, 53.1% male data in </w:t>
            </w:r>
            <w:proofErr w:type="spellStart"/>
            <w:r w:rsidRPr="00827A53">
              <w:rPr>
                <w:rFonts w:eastAsia="Arial Unicode MS"/>
                <w:sz w:val="18"/>
                <w:szCs w:val="18"/>
                <w:lang w:val="it-IT"/>
              </w:rPr>
              <w:t>São</w:t>
            </w:r>
            <w:proofErr w:type="spellEnd"/>
            <w:r w:rsidRPr="00827A53">
              <w:rPr>
                <w:rFonts w:eastAsia="Arial Unicode MS"/>
                <w:sz w:val="18"/>
                <w:szCs w:val="18"/>
                <w:lang w:val="it-IT"/>
              </w:rPr>
              <w:t xml:space="preserve"> Paulo, and 50.1% male data in Mexico City. </w:t>
            </w:r>
            <w:r w:rsidRPr="00477625">
              <w:rPr>
                <w:rFonts w:eastAsia="Arial Unicode MS"/>
                <w:sz w:val="18"/>
                <w:szCs w:val="18"/>
              </w:rPr>
              <w:t>Percentage increase in heat mortality risk at the 95th percentile of mean apparent temperature compared with the 75th percentile (95% CI) by sex: Male in Santiago 1.98 (−3.42 to 7.68), in São Paulo 4.59 (1.76 to 7.50), in Mexico City 0.78 (−1.54 to 3.15); Female in Santiago 1.65 (−3.90 to 7.50), in São Paulo 4.25 (1.25 to 7.34), in Mexico City 1.75 (−0.57 to 4.13)</w:t>
            </w:r>
          </w:p>
        </w:tc>
      </w:tr>
      <w:tr w:rsidR="006C4F12" w14:paraId="24B68B02" w14:textId="77777777">
        <w:trPr>
          <w:trHeight w:val="1643"/>
        </w:trPr>
        <w:tc>
          <w:tcPr>
            <w:tcW w:w="1815" w:type="dxa"/>
            <w:shd w:val="clear" w:color="auto" w:fill="CCCCCC"/>
            <w:tcMar>
              <w:top w:w="100" w:type="dxa"/>
              <w:left w:w="100" w:type="dxa"/>
              <w:bottom w:w="100" w:type="dxa"/>
              <w:right w:w="100" w:type="dxa"/>
            </w:tcMar>
            <w:vAlign w:val="center"/>
          </w:tcPr>
          <w:p w14:paraId="5AE854F9" w14:textId="77777777" w:rsidR="006C4F12" w:rsidRDefault="00827A53">
            <w:pPr>
              <w:widowControl w:val="0"/>
              <w:spacing w:line="240" w:lineRule="auto"/>
              <w:jc w:val="center"/>
              <w:rPr>
                <w:sz w:val="18"/>
                <w:szCs w:val="18"/>
              </w:rPr>
            </w:pPr>
            <w:r>
              <w:rPr>
                <w:sz w:val="18"/>
                <w:szCs w:val="18"/>
              </w:rPr>
              <w:t>The impact of the 2003 heat wave on mortality in Shanghai, China</w:t>
            </w:r>
          </w:p>
        </w:tc>
        <w:tc>
          <w:tcPr>
            <w:tcW w:w="930" w:type="dxa"/>
            <w:shd w:val="clear" w:color="auto" w:fill="CCCCCC"/>
            <w:tcMar>
              <w:top w:w="100" w:type="dxa"/>
              <w:left w:w="100" w:type="dxa"/>
              <w:bottom w:w="100" w:type="dxa"/>
              <w:right w:w="100" w:type="dxa"/>
            </w:tcMar>
            <w:vAlign w:val="center"/>
          </w:tcPr>
          <w:p w14:paraId="1E10C381" w14:textId="77777777" w:rsidR="006C4F12" w:rsidRDefault="00827A53">
            <w:pPr>
              <w:widowControl w:val="0"/>
              <w:spacing w:line="240" w:lineRule="auto"/>
              <w:jc w:val="center"/>
              <w:rPr>
                <w:sz w:val="18"/>
                <w:szCs w:val="18"/>
              </w:rPr>
            </w:pPr>
            <w:r>
              <w:rPr>
                <w:sz w:val="18"/>
                <w:szCs w:val="18"/>
              </w:rPr>
              <w:t>Huang et al.</w:t>
            </w:r>
          </w:p>
        </w:tc>
        <w:tc>
          <w:tcPr>
            <w:tcW w:w="1050" w:type="dxa"/>
            <w:shd w:val="clear" w:color="auto" w:fill="CCCCCC"/>
            <w:tcMar>
              <w:top w:w="100" w:type="dxa"/>
              <w:left w:w="100" w:type="dxa"/>
              <w:bottom w:w="100" w:type="dxa"/>
              <w:right w:w="100" w:type="dxa"/>
            </w:tcMar>
            <w:vAlign w:val="center"/>
          </w:tcPr>
          <w:p w14:paraId="0428E6B0" w14:textId="77777777" w:rsidR="006C4F12" w:rsidRDefault="00827A53">
            <w:pPr>
              <w:widowControl w:val="0"/>
              <w:spacing w:line="240" w:lineRule="auto"/>
              <w:jc w:val="center"/>
              <w:rPr>
                <w:sz w:val="18"/>
                <w:szCs w:val="18"/>
              </w:rPr>
            </w:pPr>
            <w:r>
              <w:rPr>
                <w:sz w:val="18"/>
                <w:szCs w:val="18"/>
              </w:rPr>
              <w:t>234</w:t>
            </w:r>
          </w:p>
        </w:tc>
        <w:tc>
          <w:tcPr>
            <w:tcW w:w="1515" w:type="dxa"/>
            <w:shd w:val="clear" w:color="auto" w:fill="CCCCCC"/>
            <w:tcMar>
              <w:top w:w="100" w:type="dxa"/>
              <w:left w:w="100" w:type="dxa"/>
              <w:bottom w:w="100" w:type="dxa"/>
              <w:right w:w="100" w:type="dxa"/>
            </w:tcMar>
            <w:vAlign w:val="center"/>
          </w:tcPr>
          <w:p w14:paraId="3026919B" w14:textId="77777777" w:rsidR="006C4F12" w:rsidRDefault="00827A53">
            <w:pPr>
              <w:widowControl w:val="0"/>
              <w:spacing w:line="240" w:lineRule="auto"/>
              <w:jc w:val="center"/>
              <w:rPr>
                <w:sz w:val="18"/>
                <w:szCs w:val="18"/>
              </w:rPr>
            </w:pPr>
            <w:r>
              <w:rPr>
                <w:sz w:val="18"/>
                <w:szCs w:val="18"/>
              </w:rPr>
              <w:t>Science of The Total Environment</w:t>
            </w:r>
          </w:p>
        </w:tc>
        <w:tc>
          <w:tcPr>
            <w:tcW w:w="1065" w:type="dxa"/>
            <w:shd w:val="clear" w:color="auto" w:fill="CCCCCC"/>
            <w:tcMar>
              <w:top w:w="100" w:type="dxa"/>
              <w:left w:w="100" w:type="dxa"/>
              <w:bottom w:w="100" w:type="dxa"/>
              <w:right w:w="100" w:type="dxa"/>
            </w:tcMar>
            <w:vAlign w:val="center"/>
          </w:tcPr>
          <w:p w14:paraId="52ACAC77" w14:textId="77777777" w:rsidR="006C4F12" w:rsidRDefault="00827A53">
            <w:pPr>
              <w:widowControl w:val="0"/>
              <w:spacing w:line="240" w:lineRule="auto"/>
              <w:jc w:val="center"/>
              <w:rPr>
                <w:sz w:val="18"/>
                <w:szCs w:val="18"/>
              </w:rPr>
            </w:pPr>
            <w:r>
              <w:rPr>
                <w:sz w:val="18"/>
                <w:szCs w:val="18"/>
              </w:rPr>
              <w:t>2010</w:t>
            </w:r>
          </w:p>
        </w:tc>
        <w:tc>
          <w:tcPr>
            <w:tcW w:w="705" w:type="dxa"/>
            <w:shd w:val="clear" w:color="auto" w:fill="CCCCCC"/>
            <w:tcMar>
              <w:top w:w="100" w:type="dxa"/>
              <w:left w:w="100" w:type="dxa"/>
              <w:bottom w:w="100" w:type="dxa"/>
              <w:right w:w="100" w:type="dxa"/>
            </w:tcMar>
            <w:vAlign w:val="center"/>
          </w:tcPr>
          <w:p w14:paraId="4561442C" w14:textId="77777777" w:rsidR="006C4F12" w:rsidRDefault="00827A53">
            <w:pPr>
              <w:widowControl w:val="0"/>
              <w:spacing w:line="240" w:lineRule="auto"/>
              <w:jc w:val="center"/>
              <w:rPr>
                <w:sz w:val="18"/>
                <w:szCs w:val="18"/>
              </w:rPr>
            </w:pPr>
            <w:r>
              <w:rPr>
                <w:sz w:val="18"/>
                <w:szCs w:val="18"/>
              </w:rPr>
              <w:t>2003</w:t>
            </w:r>
          </w:p>
        </w:tc>
        <w:tc>
          <w:tcPr>
            <w:tcW w:w="1260" w:type="dxa"/>
            <w:shd w:val="clear" w:color="auto" w:fill="CCCCCC"/>
            <w:tcMar>
              <w:top w:w="100" w:type="dxa"/>
              <w:left w:w="100" w:type="dxa"/>
              <w:bottom w:w="100" w:type="dxa"/>
              <w:right w:w="100" w:type="dxa"/>
            </w:tcMar>
            <w:vAlign w:val="center"/>
          </w:tcPr>
          <w:p w14:paraId="3F8117E3" w14:textId="77777777" w:rsidR="006C4F12" w:rsidRDefault="00827A53">
            <w:pPr>
              <w:widowControl w:val="0"/>
              <w:spacing w:line="240" w:lineRule="auto"/>
              <w:jc w:val="center"/>
              <w:rPr>
                <w:sz w:val="18"/>
                <w:szCs w:val="18"/>
              </w:rPr>
            </w:pPr>
            <w:r>
              <w:rPr>
                <w:sz w:val="18"/>
                <w:szCs w:val="18"/>
              </w:rPr>
              <w:t xml:space="preserve">Shanghai, </w:t>
            </w:r>
            <w:r>
              <w:rPr>
                <w:sz w:val="18"/>
                <w:szCs w:val="18"/>
              </w:rPr>
              <w:t>China</w:t>
            </w:r>
          </w:p>
        </w:tc>
        <w:tc>
          <w:tcPr>
            <w:tcW w:w="1110" w:type="dxa"/>
            <w:shd w:val="clear" w:color="auto" w:fill="CCCCCC"/>
            <w:tcMar>
              <w:top w:w="100" w:type="dxa"/>
              <w:left w:w="100" w:type="dxa"/>
              <w:bottom w:w="100" w:type="dxa"/>
              <w:right w:w="100" w:type="dxa"/>
            </w:tcMar>
            <w:vAlign w:val="center"/>
          </w:tcPr>
          <w:p w14:paraId="567E3961" w14:textId="77777777" w:rsidR="006C4F12" w:rsidRDefault="00827A53">
            <w:pPr>
              <w:widowControl w:val="0"/>
              <w:spacing w:line="240" w:lineRule="auto"/>
              <w:jc w:val="center"/>
              <w:rPr>
                <w:sz w:val="18"/>
                <w:szCs w:val="18"/>
              </w:rPr>
            </w:pPr>
            <w:r>
              <w:rPr>
                <w:sz w:val="18"/>
                <w:szCs w:val="18"/>
              </w:rPr>
              <w:t>Daily data</w:t>
            </w:r>
          </w:p>
        </w:tc>
        <w:tc>
          <w:tcPr>
            <w:tcW w:w="5115" w:type="dxa"/>
            <w:shd w:val="clear" w:color="auto" w:fill="CCCCCC"/>
            <w:tcMar>
              <w:top w:w="100" w:type="dxa"/>
              <w:left w:w="100" w:type="dxa"/>
              <w:bottom w:w="100" w:type="dxa"/>
              <w:right w:w="100" w:type="dxa"/>
            </w:tcMar>
            <w:vAlign w:val="center"/>
          </w:tcPr>
          <w:p w14:paraId="436C16E1" w14:textId="77777777" w:rsidR="006C4F12" w:rsidRDefault="00827A53">
            <w:pPr>
              <w:widowControl w:val="0"/>
              <w:spacing w:line="240" w:lineRule="auto"/>
              <w:jc w:val="center"/>
              <w:rPr>
                <w:sz w:val="18"/>
                <w:szCs w:val="18"/>
              </w:rPr>
            </w:pPr>
            <w:r>
              <w:rPr>
                <w:sz w:val="18"/>
                <w:szCs w:val="18"/>
              </w:rPr>
              <w:t>The mortality data for the reference period consists of 2025 deaths, where 1053 cases are males (52%) and 972 cases are females (48%). The mortality data of the heatwave periods include 2283 deaths, where 1217 are male (53.31%) and 1066 are female (46.69%). The effect of heat waves on total mortality in males was slightly higher than in females, but the difference was not statistically significant. This finding is consistent with a previous study showing no differences of temperature health effects across g</w:t>
            </w:r>
            <w:r>
              <w:rPr>
                <w:sz w:val="18"/>
                <w:szCs w:val="18"/>
              </w:rPr>
              <w:t>enders (O'Neill et al., 2003).</w:t>
            </w:r>
          </w:p>
        </w:tc>
      </w:tr>
      <w:tr w:rsidR="006C4F12" w14:paraId="6A71752A" w14:textId="77777777">
        <w:trPr>
          <w:trHeight w:val="1643"/>
        </w:trPr>
        <w:tc>
          <w:tcPr>
            <w:tcW w:w="1815" w:type="dxa"/>
            <w:tcBorders>
              <w:top w:val="single" w:sz="5" w:space="0" w:color="000000"/>
            </w:tcBorders>
            <w:shd w:val="clear" w:color="auto" w:fill="F4CCCC"/>
            <w:tcMar>
              <w:top w:w="100" w:type="dxa"/>
              <w:left w:w="100" w:type="dxa"/>
              <w:bottom w:w="100" w:type="dxa"/>
              <w:right w:w="100" w:type="dxa"/>
            </w:tcMar>
            <w:vAlign w:val="center"/>
          </w:tcPr>
          <w:p w14:paraId="09FF9A54" w14:textId="77777777" w:rsidR="006C4F12" w:rsidRDefault="00827A53">
            <w:pPr>
              <w:widowControl w:val="0"/>
              <w:spacing w:line="240" w:lineRule="auto"/>
              <w:jc w:val="center"/>
              <w:rPr>
                <w:sz w:val="18"/>
                <w:szCs w:val="18"/>
              </w:rPr>
            </w:pPr>
            <w:r>
              <w:rPr>
                <w:sz w:val="18"/>
                <w:szCs w:val="18"/>
              </w:rPr>
              <w:lastRenderedPageBreak/>
              <w:t>The association of weather and mortality in Bangladesh from 1983–2009</w:t>
            </w:r>
          </w:p>
        </w:tc>
        <w:tc>
          <w:tcPr>
            <w:tcW w:w="930" w:type="dxa"/>
            <w:tcBorders>
              <w:top w:val="single" w:sz="5" w:space="0" w:color="000000"/>
            </w:tcBorders>
            <w:shd w:val="clear" w:color="auto" w:fill="F4CCCC"/>
            <w:tcMar>
              <w:top w:w="100" w:type="dxa"/>
              <w:left w:w="100" w:type="dxa"/>
              <w:bottom w:w="100" w:type="dxa"/>
              <w:right w:w="100" w:type="dxa"/>
            </w:tcMar>
            <w:vAlign w:val="center"/>
          </w:tcPr>
          <w:p w14:paraId="2DD050BF" w14:textId="77777777" w:rsidR="006C4F12" w:rsidRDefault="00827A53">
            <w:pPr>
              <w:widowControl w:val="0"/>
              <w:spacing w:line="240" w:lineRule="auto"/>
              <w:jc w:val="center"/>
              <w:rPr>
                <w:sz w:val="18"/>
                <w:szCs w:val="18"/>
              </w:rPr>
            </w:pPr>
            <w:r>
              <w:rPr>
                <w:sz w:val="18"/>
                <w:szCs w:val="18"/>
              </w:rPr>
              <w:t>Alam et al.</w:t>
            </w:r>
          </w:p>
        </w:tc>
        <w:tc>
          <w:tcPr>
            <w:tcW w:w="1050" w:type="dxa"/>
            <w:tcBorders>
              <w:top w:val="single" w:sz="5" w:space="0" w:color="000000"/>
            </w:tcBorders>
            <w:shd w:val="clear" w:color="auto" w:fill="F4CCCC"/>
            <w:tcMar>
              <w:top w:w="100" w:type="dxa"/>
              <w:left w:w="100" w:type="dxa"/>
              <w:bottom w:w="100" w:type="dxa"/>
              <w:right w:w="100" w:type="dxa"/>
            </w:tcMar>
            <w:vAlign w:val="center"/>
          </w:tcPr>
          <w:p w14:paraId="2BB68D20" w14:textId="77777777" w:rsidR="006C4F12" w:rsidRDefault="00827A53">
            <w:pPr>
              <w:widowControl w:val="0"/>
              <w:spacing w:line="240" w:lineRule="auto"/>
              <w:jc w:val="center"/>
              <w:rPr>
                <w:sz w:val="18"/>
                <w:szCs w:val="18"/>
              </w:rPr>
            </w:pPr>
            <w:r>
              <w:rPr>
                <w:sz w:val="18"/>
                <w:szCs w:val="18"/>
              </w:rPr>
              <w:t>32</w:t>
            </w:r>
          </w:p>
        </w:tc>
        <w:tc>
          <w:tcPr>
            <w:tcW w:w="1515" w:type="dxa"/>
            <w:tcBorders>
              <w:top w:val="single" w:sz="5" w:space="0" w:color="000000"/>
            </w:tcBorders>
            <w:shd w:val="clear" w:color="auto" w:fill="F4CCCC"/>
            <w:tcMar>
              <w:top w:w="100" w:type="dxa"/>
              <w:left w:w="100" w:type="dxa"/>
              <w:bottom w:w="100" w:type="dxa"/>
              <w:right w:w="100" w:type="dxa"/>
            </w:tcMar>
            <w:vAlign w:val="center"/>
          </w:tcPr>
          <w:p w14:paraId="1550C105" w14:textId="77777777" w:rsidR="006C4F12" w:rsidRDefault="00827A53">
            <w:pPr>
              <w:widowControl w:val="0"/>
              <w:spacing w:line="240" w:lineRule="auto"/>
              <w:jc w:val="center"/>
              <w:rPr>
                <w:sz w:val="18"/>
                <w:szCs w:val="18"/>
              </w:rPr>
            </w:pPr>
            <w:r>
              <w:rPr>
                <w:sz w:val="18"/>
                <w:szCs w:val="18"/>
              </w:rPr>
              <w:t>Global Health Action</w:t>
            </w:r>
          </w:p>
        </w:tc>
        <w:tc>
          <w:tcPr>
            <w:tcW w:w="1065" w:type="dxa"/>
            <w:tcBorders>
              <w:top w:val="single" w:sz="5" w:space="0" w:color="000000"/>
            </w:tcBorders>
            <w:shd w:val="clear" w:color="auto" w:fill="F4CCCC"/>
            <w:tcMar>
              <w:top w:w="100" w:type="dxa"/>
              <w:left w:w="100" w:type="dxa"/>
              <w:bottom w:w="100" w:type="dxa"/>
              <w:right w:w="100" w:type="dxa"/>
            </w:tcMar>
            <w:vAlign w:val="center"/>
          </w:tcPr>
          <w:p w14:paraId="56099FBA" w14:textId="77777777" w:rsidR="006C4F12" w:rsidRDefault="00827A53">
            <w:pPr>
              <w:widowControl w:val="0"/>
              <w:spacing w:line="240" w:lineRule="auto"/>
              <w:jc w:val="center"/>
              <w:rPr>
                <w:sz w:val="18"/>
                <w:szCs w:val="18"/>
              </w:rPr>
            </w:pPr>
            <w:r>
              <w:rPr>
                <w:sz w:val="18"/>
                <w:szCs w:val="18"/>
              </w:rPr>
              <w:t>2012</w:t>
            </w:r>
          </w:p>
        </w:tc>
        <w:tc>
          <w:tcPr>
            <w:tcW w:w="705" w:type="dxa"/>
            <w:tcBorders>
              <w:top w:val="single" w:sz="5" w:space="0" w:color="000000"/>
            </w:tcBorders>
            <w:shd w:val="clear" w:color="auto" w:fill="F4CCCC"/>
            <w:tcMar>
              <w:top w:w="100" w:type="dxa"/>
              <w:left w:w="100" w:type="dxa"/>
              <w:bottom w:w="100" w:type="dxa"/>
              <w:right w:w="100" w:type="dxa"/>
            </w:tcMar>
            <w:vAlign w:val="center"/>
          </w:tcPr>
          <w:p w14:paraId="4A418447" w14:textId="77777777" w:rsidR="006C4F12" w:rsidRDefault="00827A53">
            <w:pPr>
              <w:widowControl w:val="0"/>
              <w:spacing w:line="240" w:lineRule="auto"/>
              <w:jc w:val="center"/>
              <w:rPr>
                <w:sz w:val="18"/>
                <w:szCs w:val="18"/>
              </w:rPr>
            </w:pPr>
            <w:r>
              <w:rPr>
                <w:sz w:val="18"/>
                <w:szCs w:val="18"/>
              </w:rPr>
              <w:t>1983 - 2009</w:t>
            </w:r>
          </w:p>
        </w:tc>
        <w:tc>
          <w:tcPr>
            <w:tcW w:w="1260" w:type="dxa"/>
            <w:tcBorders>
              <w:top w:val="single" w:sz="5" w:space="0" w:color="000000"/>
            </w:tcBorders>
            <w:shd w:val="clear" w:color="auto" w:fill="F4CCCC"/>
            <w:tcMar>
              <w:top w:w="100" w:type="dxa"/>
              <w:left w:w="100" w:type="dxa"/>
              <w:bottom w:w="100" w:type="dxa"/>
              <w:right w:w="100" w:type="dxa"/>
            </w:tcMar>
            <w:vAlign w:val="center"/>
          </w:tcPr>
          <w:p w14:paraId="4E7C6C3D" w14:textId="77777777" w:rsidR="006C4F12" w:rsidRDefault="00827A53">
            <w:pPr>
              <w:widowControl w:val="0"/>
              <w:spacing w:line="240" w:lineRule="auto"/>
              <w:jc w:val="center"/>
              <w:rPr>
                <w:sz w:val="18"/>
                <w:szCs w:val="18"/>
              </w:rPr>
            </w:pPr>
            <w:r>
              <w:rPr>
                <w:sz w:val="18"/>
                <w:szCs w:val="18"/>
              </w:rPr>
              <w:t>Bangladesh</w:t>
            </w:r>
          </w:p>
        </w:tc>
        <w:tc>
          <w:tcPr>
            <w:tcW w:w="1110" w:type="dxa"/>
            <w:tcBorders>
              <w:top w:val="single" w:sz="5" w:space="0" w:color="000000"/>
            </w:tcBorders>
            <w:shd w:val="clear" w:color="auto" w:fill="F4CCCC"/>
            <w:tcMar>
              <w:top w:w="100" w:type="dxa"/>
              <w:left w:w="100" w:type="dxa"/>
              <w:bottom w:w="100" w:type="dxa"/>
              <w:right w:w="100" w:type="dxa"/>
            </w:tcMar>
            <w:vAlign w:val="center"/>
          </w:tcPr>
          <w:p w14:paraId="16512ED6" w14:textId="77777777" w:rsidR="006C4F12" w:rsidRDefault="00827A53">
            <w:pPr>
              <w:widowControl w:val="0"/>
              <w:spacing w:line="240" w:lineRule="auto"/>
              <w:jc w:val="center"/>
              <w:rPr>
                <w:sz w:val="18"/>
                <w:szCs w:val="18"/>
              </w:rPr>
            </w:pPr>
            <w:r>
              <w:rPr>
                <w:sz w:val="18"/>
                <w:szCs w:val="18"/>
              </w:rPr>
              <w:t>Weekly data</w:t>
            </w:r>
          </w:p>
        </w:tc>
        <w:tc>
          <w:tcPr>
            <w:tcW w:w="5115" w:type="dxa"/>
            <w:shd w:val="clear" w:color="auto" w:fill="F4CCCC"/>
            <w:tcMar>
              <w:top w:w="100" w:type="dxa"/>
              <w:left w:w="100" w:type="dxa"/>
              <w:bottom w:w="100" w:type="dxa"/>
              <w:right w:w="100" w:type="dxa"/>
            </w:tcMar>
            <w:vAlign w:val="center"/>
          </w:tcPr>
          <w:p w14:paraId="437E96F1" w14:textId="77777777" w:rsidR="006C4F12" w:rsidRDefault="00827A53">
            <w:pPr>
              <w:widowControl w:val="0"/>
              <w:spacing w:line="240" w:lineRule="auto"/>
              <w:jc w:val="center"/>
              <w:rPr>
                <w:sz w:val="18"/>
                <w:szCs w:val="18"/>
              </w:rPr>
            </w:pPr>
            <w:r>
              <w:rPr>
                <w:sz w:val="18"/>
                <w:szCs w:val="18"/>
              </w:rPr>
              <w:t xml:space="preserve">The mortality data consists of 4850 deaths, summary </w:t>
            </w:r>
            <w:r>
              <w:rPr>
                <w:sz w:val="18"/>
                <w:szCs w:val="18"/>
              </w:rPr>
              <w:t>statistics of gender is not provided. Low temperature (below 75th percentile) was associated with increased mortality risk of females, but not males. Temperature above the 75th percentile was not associated with mortality risk of any sex and age group.</w:t>
            </w:r>
          </w:p>
        </w:tc>
      </w:tr>
      <w:tr w:rsidR="006C4F12" w14:paraId="5D54AFEE" w14:textId="77777777">
        <w:trPr>
          <w:trHeight w:val="1643"/>
        </w:trPr>
        <w:tc>
          <w:tcPr>
            <w:tcW w:w="1815" w:type="dxa"/>
            <w:shd w:val="clear" w:color="auto" w:fill="F4CCCC"/>
            <w:tcMar>
              <w:top w:w="100" w:type="dxa"/>
              <w:left w:w="100" w:type="dxa"/>
              <w:bottom w:w="100" w:type="dxa"/>
              <w:right w:w="100" w:type="dxa"/>
            </w:tcMar>
            <w:vAlign w:val="center"/>
          </w:tcPr>
          <w:p w14:paraId="1DA8AF64" w14:textId="77777777" w:rsidR="006C4F12" w:rsidRDefault="00827A53">
            <w:pPr>
              <w:widowControl w:val="0"/>
              <w:spacing w:line="240" w:lineRule="auto"/>
              <w:jc w:val="center"/>
              <w:rPr>
                <w:sz w:val="18"/>
                <w:szCs w:val="18"/>
              </w:rPr>
            </w:pPr>
            <w:r>
              <w:rPr>
                <w:sz w:val="18"/>
                <w:szCs w:val="18"/>
              </w:rPr>
              <w:t>A study of intracity variation of temperature-related mortality and socioeconomic status among the Chinese population in Hong Kong</w:t>
            </w:r>
          </w:p>
        </w:tc>
        <w:tc>
          <w:tcPr>
            <w:tcW w:w="930" w:type="dxa"/>
            <w:tcBorders>
              <w:top w:val="single" w:sz="5" w:space="0" w:color="000000"/>
            </w:tcBorders>
            <w:shd w:val="clear" w:color="auto" w:fill="F4CCCC"/>
            <w:tcMar>
              <w:top w:w="100" w:type="dxa"/>
              <w:left w:w="100" w:type="dxa"/>
              <w:bottom w:w="100" w:type="dxa"/>
              <w:right w:w="100" w:type="dxa"/>
            </w:tcMar>
            <w:vAlign w:val="center"/>
          </w:tcPr>
          <w:p w14:paraId="6B5D4EB7" w14:textId="77777777" w:rsidR="006C4F12" w:rsidRDefault="00827A53">
            <w:pPr>
              <w:widowControl w:val="0"/>
              <w:spacing w:line="240" w:lineRule="auto"/>
              <w:jc w:val="center"/>
              <w:rPr>
                <w:sz w:val="18"/>
                <w:szCs w:val="18"/>
              </w:rPr>
            </w:pPr>
            <w:r>
              <w:rPr>
                <w:sz w:val="18"/>
                <w:szCs w:val="18"/>
              </w:rPr>
              <w:t>Chan et al.</w:t>
            </w:r>
          </w:p>
        </w:tc>
        <w:tc>
          <w:tcPr>
            <w:tcW w:w="1050" w:type="dxa"/>
            <w:tcBorders>
              <w:top w:val="single" w:sz="5" w:space="0" w:color="000000"/>
            </w:tcBorders>
            <w:shd w:val="clear" w:color="auto" w:fill="F4CCCC"/>
            <w:tcMar>
              <w:top w:w="100" w:type="dxa"/>
              <w:left w:w="100" w:type="dxa"/>
              <w:bottom w:w="100" w:type="dxa"/>
              <w:right w:w="100" w:type="dxa"/>
            </w:tcMar>
            <w:vAlign w:val="center"/>
          </w:tcPr>
          <w:p w14:paraId="75A1B5F1" w14:textId="77777777" w:rsidR="006C4F12" w:rsidRDefault="00827A53">
            <w:pPr>
              <w:widowControl w:val="0"/>
              <w:spacing w:line="240" w:lineRule="auto"/>
              <w:jc w:val="center"/>
              <w:rPr>
                <w:sz w:val="18"/>
                <w:szCs w:val="18"/>
              </w:rPr>
            </w:pPr>
            <w:r>
              <w:rPr>
                <w:sz w:val="18"/>
                <w:szCs w:val="18"/>
              </w:rPr>
              <w:t>235</w:t>
            </w:r>
          </w:p>
        </w:tc>
        <w:tc>
          <w:tcPr>
            <w:tcW w:w="1515" w:type="dxa"/>
            <w:tcBorders>
              <w:top w:val="single" w:sz="5" w:space="0" w:color="000000"/>
            </w:tcBorders>
            <w:shd w:val="clear" w:color="auto" w:fill="F4CCCC"/>
            <w:tcMar>
              <w:top w:w="100" w:type="dxa"/>
              <w:left w:w="100" w:type="dxa"/>
              <w:bottom w:w="100" w:type="dxa"/>
              <w:right w:w="100" w:type="dxa"/>
            </w:tcMar>
            <w:vAlign w:val="center"/>
          </w:tcPr>
          <w:p w14:paraId="57CDDB4E" w14:textId="77777777" w:rsidR="006C4F12" w:rsidRDefault="00827A53">
            <w:pPr>
              <w:widowControl w:val="0"/>
              <w:spacing w:line="240" w:lineRule="auto"/>
              <w:jc w:val="center"/>
              <w:rPr>
                <w:sz w:val="18"/>
                <w:szCs w:val="18"/>
              </w:rPr>
            </w:pPr>
            <w:r>
              <w:rPr>
                <w:sz w:val="18"/>
                <w:szCs w:val="18"/>
              </w:rPr>
              <w:t>Journal of Epidemiology and Community Health</w:t>
            </w:r>
          </w:p>
        </w:tc>
        <w:tc>
          <w:tcPr>
            <w:tcW w:w="1065" w:type="dxa"/>
            <w:tcBorders>
              <w:top w:val="single" w:sz="5" w:space="0" w:color="000000"/>
            </w:tcBorders>
            <w:shd w:val="clear" w:color="auto" w:fill="F4CCCC"/>
            <w:tcMar>
              <w:top w:w="100" w:type="dxa"/>
              <w:left w:w="100" w:type="dxa"/>
              <w:bottom w:w="100" w:type="dxa"/>
              <w:right w:w="100" w:type="dxa"/>
            </w:tcMar>
            <w:vAlign w:val="center"/>
          </w:tcPr>
          <w:p w14:paraId="0F6329D0" w14:textId="77777777" w:rsidR="006C4F12" w:rsidRDefault="00827A53">
            <w:pPr>
              <w:widowControl w:val="0"/>
              <w:spacing w:line="240" w:lineRule="auto"/>
              <w:jc w:val="center"/>
              <w:rPr>
                <w:sz w:val="18"/>
                <w:szCs w:val="18"/>
              </w:rPr>
            </w:pPr>
            <w:r>
              <w:rPr>
                <w:sz w:val="18"/>
                <w:szCs w:val="18"/>
              </w:rPr>
              <w:t>2012</w:t>
            </w:r>
          </w:p>
        </w:tc>
        <w:tc>
          <w:tcPr>
            <w:tcW w:w="705" w:type="dxa"/>
            <w:tcBorders>
              <w:top w:val="single" w:sz="5" w:space="0" w:color="000000"/>
            </w:tcBorders>
            <w:shd w:val="clear" w:color="auto" w:fill="F4CCCC"/>
            <w:tcMar>
              <w:top w:w="100" w:type="dxa"/>
              <w:left w:w="100" w:type="dxa"/>
              <w:bottom w:w="100" w:type="dxa"/>
              <w:right w:w="100" w:type="dxa"/>
            </w:tcMar>
            <w:vAlign w:val="center"/>
          </w:tcPr>
          <w:p w14:paraId="6A47C84F" w14:textId="77777777" w:rsidR="006C4F12" w:rsidRDefault="00827A53">
            <w:pPr>
              <w:widowControl w:val="0"/>
              <w:spacing w:line="240" w:lineRule="auto"/>
              <w:jc w:val="center"/>
              <w:rPr>
                <w:sz w:val="18"/>
                <w:szCs w:val="18"/>
              </w:rPr>
            </w:pPr>
            <w:r>
              <w:rPr>
                <w:sz w:val="18"/>
                <w:szCs w:val="18"/>
              </w:rPr>
              <w:t>1998 - 2006</w:t>
            </w:r>
          </w:p>
          <w:p w14:paraId="5EDC5DEE" w14:textId="77777777" w:rsidR="006C4F12" w:rsidRDefault="006C4F12">
            <w:pPr>
              <w:widowControl w:val="0"/>
              <w:spacing w:line="240" w:lineRule="auto"/>
              <w:jc w:val="center"/>
              <w:rPr>
                <w:sz w:val="18"/>
                <w:szCs w:val="18"/>
              </w:rPr>
            </w:pPr>
          </w:p>
        </w:tc>
        <w:tc>
          <w:tcPr>
            <w:tcW w:w="1260" w:type="dxa"/>
            <w:tcBorders>
              <w:top w:val="single" w:sz="5" w:space="0" w:color="000000"/>
            </w:tcBorders>
            <w:shd w:val="clear" w:color="auto" w:fill="F4CCCC"/>
            <w:tcMar>
              <w:top w:w="100" w:type="dxa"/>
              <w:left w:w="100" w:type="dxa"/>
              <w:bottom w:w="100" w:type="dxa"/>
              <w:right w:w="100" w:type="dxa"/>
            </w:tcMar>
            <w:vAlign w:val="center"/>
          </w:tcPr>
          <w:p w14:paraId="470C6E7E" w14:textId="77777777" w:rsidR="006C4F12" w:rsidRDefault="00827A53">
            <w:pPr>
              <w:widowControl w:val="0"/>
              <w:spacing w:line="240" w:lineRule="auto"/>
              <w:jc w:val="center"/>
              <w:rPr>
                <w:sz w:val="18"/>
                <w:szCs w:val="18"/>
              </w:rPr>
            </w:pPr>
            <w:r>
              <w:rPr>
                <w:sz w:val="18"/>
                <w:szCs w:val="18"/>
              </w:rPr>
              <w:t>Hong Kong, China</w:t>
            </w:r>
          </w:p>
        </w:tc>
        <w:tc>
          <w:tcPr>
            <w:tcW w:w="1110" w:type="dxa"/>
            <w:tcBorders>
              <w:top w:val="single" w:sz="5" w:space="0" w:color="000000"/>
            </w:tcBorders>
            <w:shd w:val="clear" w:color="auto" w:fill="F4CCCC"/>
            <w:tcMar>
              <w:top w:w="100" w:type="dxa"/>
              <w:left w:w="100" w:type="dxa"/>
              <w:bottom w:w="100" w:type="dxa"/>
              <w:right w:w="100" w:type="dxa"/>
            </w:tcMar>
            <w:vAlign w:val="center"/>
          </w:tcPr>
          <w:p w14:paraId="42F7BB5A" w14:textId="77777777" w:rsidR="006C4F12" w:rsidRDefault="00827A53">
            <w:pPr>
              <w:widowControl w:val="0"/>
              <w:spacing w:line="240" w:lineRule="auto"/>
              <w:jc w:val="center"/>
              <w:rPr>
                <w:sz w:val="18"/>
                <w:szCs w:val="18"/>
              </w:rPr>
            </w:pPr>
            <w:r>
              <w:rPr>
                <w:sz w:val="18"/>
                <w:szCs w:val="18"/>
              </w:rPr>
              <w:t>Daily data</w:t>
            </w:r>
          </w:p>
        </w:tc>
        <w:tc>
          <w:tcPr>
            <w:tcW w:w="5115" w:type="dxa"/>
            <w:shd w:val="clear" w:color="auto" w:fill="F4CCCC"/>
            <w:tcMar>
              <w:top w:w="100" w:type="dxa"/>
              <w:left w:w="100" w:type="dxa"/>
              <w:bottom w:w="100" w:type="dxa"/>
              <w:right w:w="100" w:type="dxa"/>
            </w:tcMar>
            <w:vAlign w:val="center"/>
          </w:tcPr>
          <w:p w14:paraId="34DB54E5" w14:textId="77777777" w:rsidR="006C4F12" w:rsidRDefault="00827A53">
            <w:pPr>
              <w:widowControl w:val="0"/>
              <w:spacing w:line="240" w:lineRule="auto"/>
              <w:jc w:val="center"/>
              <w:rPr>
                <w:sz w:val="18"/>
                <w:szCs w:val="18"/>
              </w:rPr>
            </w:pPr>
            <w:r>
              <w:rPr>
                <w:sz w:val="18"/>
                <w:szCs w:val="18"/>
              </w:rPr>
              <w:t xml:space="preserve">The </w:t>
            </w:r>
            <w:r>
              <w:rPr>
                <w:sz w:val="18"/>
                <w:szCs w:val="18"/>
              </w:rPr>
              <w:t>mortality data consists of 129,688 non-accidental deaths, where 72,148 cases are males (55.63%) and 57,538 cases are females (44.37%). Deaths among women (RR 1.068, 95% CI 1.017 to 1.121, p = 0.008) were more sensitive to higher temperatures than among men (RR 1.045, 95% CI 1.001 to 1.092, p = 0.046).</w:t>
            </w:r>
          </w:p>
        </w:tc>
      </w:tr>
      <w:tr w:rsidR="006C4F12" w14:paraId="26FE7135" w14:textId="77777777">
        <w:trPr>
          <w:trHeight w:val="1643"/>
        </w:trPr>
        <w:tc>
          <w:tcPr>
            <w:tcW w:w="1815" w:type="dxa"/>
            <w:shd w:val="clear" w:color="auto" w:fill="CCCCCC"/>
            <w:tcMar>
              <w:top w:w="100" w:type="dxa"/>
              <w:left w:w="100" w:type="dxa"/>
              <w:bottom w:w="100" w:type="dxa"/>
              <w:right w:w="100" w:type="dxa"/>
            </w:tcMar>
            <w:vAlign w:val="center"/>
          </w:tcPr>
          <w:p w14:paraId="14EE1607" w14:textId="77777777" w:rsidR="006C4F12" w:rsidRDefault="00827A53">
            <w:pPr>
              <w:widowControl w:val="0"/>
              <w:spacing w:line="240" w:lineRule="auto"/>
              <w:jc w:val="center"/>
              <w:rPr>
                <w:sz w:val="18"/>
                <w:szCs w:val="18"/>
              </w:rPr>
            </w:pPr>
            <w:r>
              <w:rPr>
                <w:sz w:val="18"/>
                <w:szCs w:val="18"/>
              </w:rPr>
              <w:t>Time-series analysis of weather and mortality patterns in Nairobi's informal settlements</w:t>
            </w:r>
          </w:p>
        </w:tc>
        <w:tc>
          <w:tcPr>
            <w:tcW w:w="930" w:type="dxa"/>
            <w:shd w:val="clear" w:color="auto" w:fill="CCCCCC"/>
            <w:tcMar>
              <w:top w:w="100" w:type="dxa"/>
              <w:left w:w="100" w:type="dxa"/>
              <w:bottom w:w="100" w:type="dxa"/>
              <w:right w:w="100" w:type="dxa"/>
            </w:tcMar>
            <w:vAlign w:val="center"/>
          </w:tcPr>
          <w:p w14:paraId="0CCFD8D9" w14:textId="77777777" w:rsidR="006C4F12" w:rsidRDefault="00827A53">
            <w:pPr>
              <w:widowControl w:val="0"/>
              <w:spacing w:line="240" w:lineRule="auto"/>
              <w:jc w:val="center"/>
              <w:rPr>
                <w:sz w:val="18"/>
                <w:szCs w:val="18"/>
              </w:rPr>
            </w:pPr>
            <w:proofErr w:type="spellStart"/>
            <w:r>
              <w:rPr>
                <w:sz w:val="18"/>
                <w:szCs w:val="18"/>
              </w:rPr>
              <w:t>Egondi</w:t>
            </w:r>
            <w:proofErr w:type="spellEnd"/>
            <w:r>
              <w:rPr>
                <w:sz w:val="18"/>
                <w:szCs w:val="18"/>
              </w:rPr>
              <w:t xml:space="preserve"> et al.</w:t>
            </w:r>
          </w:p>
        </w:tc>
        <w:tc>
          <w:tcPr>
            <w:tcW w:w="1050" w:type="dxa"/>
            <w:shd w:val="clear" w:color="auto" w:fill="CCCCCC"/>
            <w:tcMar>
              <w:top w:w="100" w:type="dxa"/>
              <w:left w:w="100" w:type="dxa"/>
              <w:bottom w:w="100" w:type="dxa"/>
              <w:right w:w="100" w:type="dxa"/>
            </w:tcMar>
            <w:vAlign w:val="center"/>
          </w:tcPr>
          <w:p w14:paraId="1CBEA931" w14:textId="77777777" w:rsidR="006C4F12" w:rsidRDefault="00827A53">
            <w:pPr>
              <w:widowControl w:val="0"/>
              <w:spacing w:line="240" w:lineRule="auto"/>
              <w:jc w:val="center"/>
              <w:rPr>
                <w:sz w:val="18"/>
                <w:szCs w:val="18"/>
              </w:rPr>
            </w:pPr>
            <w:r>
              <w:rPr>
                <w:sz w:val="18"/>
                <w:szCs w:val="18"/>
              </w:rPr>
              <w:t>121</w:t>
            </w:r>
          </w:p>
        </w:tc>
        <w:tc>
          <w:tcPr>
            <w:tcW w:w="1515" w:type="dxa"/>
            <w:shd w:val="clear" w:color="auto" w:fill="CCCCCC"/>
            <w:tcMar>
              <w:top w:w="100" w:type="dxa"/>
              <w:left w:w="100" w:type="dxa"/>
              <w:bottom w:w="100" w:type="dxa"/>
              <w:right w:w="100" w:type="dxa"/>
            </w:tcMar>
            <w:vAlign w:val="center"/>
          </w:tcPr>
          <w:p w14:paraId="596D84A8" w14:textId="77777777" w:rsidR="006C4F12" w:rsidRDefault="00827A53">
            <w:pPr>
              <w:widowControl w:val="0"/>
              <w:spacing w:line="240" w:lineRule="auto"/>
              <w:jc w:val="center"/>
              <w:rPr>
                <w:sz w:val="18"/>
                <w:szCs w:val="18"/>
              </w:rPr>
            </w:pPr>
            <w:r>
              <w:rPr>
                <w:sz w:val="18"/>
                <w:szCs w:val="18"/>
              </w:rPr>
              <w:t>Global Health Action</w:t>
            </w:r>
          </w:p>
        </w:tc>
        <w:tc>
          <w:tcPr>
            <w:tcW w:w="1065" w:type="dxa"/>
            <w:shd w:val="clear" w:color="auto" w:fill="CCCCCC"/>
            <w:tcMar>
              <w:top w:w="100" w:type="dxa"/>
              <w:left w:w="100" w:type="dxa"/>
              <w:bottom w:w="100" w:type="dxa"/>
              <w:right w:w="100" w:type="dxa"/>
            </w:tcMar>
            <w:vAlign w:val="center"/>
          </w:tcPr>
          <w:p w14:paraId="59870249" w14:textId="77777777" w:rsidR="006C4F12" w:rsidRDefault="00827A53">
            <w:pPr>
              <w:widowControl w:val="0"/>
              <w:spacing w:line="240" w:lineRule="auto"/>
              <w:jc w:val="center"/>
              <w:rPr>
                <w:sz w:val="18"/>
                <w:szCs w:val="18"/>
              </w:rPr>
            </w:pPr>
            <w:r>
              <w:rPr>
                <w:sz w:val="18"/>
                <w:szCs w:val="18"/>
              </w:rPr>
              <w:t>2012</w:t>
            </w:r>
          </w:p>
        </w:tc>
        <w:tc>
          <w:tcPr>
            <w:tcW w:w="705" w:type="dxa"/>
            <w:shd w:val="clear" w:color="auto" w:fill="CCCCCC"/>
            <w:tcMar>
              <w:top w:w="100" w:type="dxa"/>
              <w:left w:w="100" w:type="dxa"/>
              <w:bottom w:w="100" w:type="dxa"/>
              <w:right w:w="100" w:type="dxa"/>
            </w:tcMar>
            <w:vAlign w:val="center"/>
          </w:tcPr>
          <w:p w14:paraId="2B6FA1E2" w14:textId="77777777" w:rsidR="006C4F12" w:rsidRDefault="00827A53">
            <w:pPr>
              <w:widowControl w:val="0"/>
              <w:spacing w:line="240" w:lineRule="auto"/>
              <w:jc w:val="center"/>
              <w:rPr>
                <w:sz w:val="18"/>
                <w:szCs w:val="18"/>
              </w:rPr>
            </w:pPr>
            <w:r>
              <w:rPr>
                <w:sz w:val="18"/>
                <w:szCs w:val="18"/>
              </w:rPr>
              <w:t>2003 - 2008</w:t>
            </w:r>
          </w:p>
        </w:tc>
        <w:tc>
          <w:tcPr>
            <w:tcW w:w="1260" w:type="dxa"/>
            <w:shd w:val="clear" w:color="auto" w:fill="CCCCCC"/>
            <w:tcMar>
              <w:top w:w="100" w:type="dxa"/>
              <w:left w:w="100" w:type="dxa"/>
              <w:bottom w:w="100" w:type="dxa"/>
              <w:right w:w="100" w:type="dxa"/>
            </w:tcMar>
            <w:vAlign w:val="center"/>
          </w:tcPr>
          <w:p w14:paraId="74A21C23" w14:textId="77777777" w:rsidR="006C4F12" w:rsidRDefault="00827A53">
            <w:pPr>
              <w:widowControl w:val="0"/>
              <w:spacing w:line="240" w:lineRule="auto"/>
              <w:jc w:val="center"/>
              <w:rPr>
                <w:sz w:val="18"/>
                <w:szCs w:val="18"/>
              </w:rPr>
            </w:pPr>
            <w:r>
              <w:rPr>
                <w:sz w:val="18"/>
                <w:szCs w:val="18"/>
              </w:rPr>
              <w:t>Nairobi, Kenya</w:t>
            </w:r>
          </w:p>
        </w:tc>
        <w:tc>
          <w:tcPr>
            <w:tcW w:w="1110" w:type="dxa"/>
            <w:shd w:val="clear" w:color="auto" w:fill="CCCCCC"/>
            <w:tcMar>
              <w:top w:w="100" w:type="dxa"/>
              <w:left w:w="100" w:type="dxa"/>
              <w:bottom w:w="100" w:type="dxa"/>
              <w:right w:w="100" w:type="dxa"/>
            </w:tcMar>
            <w:vAlign w:val="center"/>
          </w:tcPr>
          <w:p w14:paraId="0A1E5E08" w14:textId="77777777" w:rsidR="006C4F12" w:rsidRDefault="00827A53">
            <w:pPr>
              <w:widowControl w:val="0"/>
              <w:spacing w:line="240" w:lineRule="auto"/>
              <w:jc w:val="center"/>
              <w:rPr>
                <w:sz w:val="18"/>
                <w:szCs w:val="18"/>
              </w:rPr>
            </w:pPr>
            <w:r>
              <w:rPr>
                <w:sz w:val="18"/>
                <w:szCs w:val="18"/>
              </w:rPr>
              <w:t>Daily data</w:t>
            </w:r>
          </w:p>
        </w:tc>
        <w:tc>
          <w:tcPr>
            <w:tcW w:w="5115" w:type="dxa"/>
            <w:shd w:val="clear" w:color="auto" w:fill="CCCCCC"/>
            <w:tcMar>
              <w:top w:w="100" w:type="dxa"/>
              <w:left w:w="100" w:type="dxa"/>
              <w:bottom w:w="100" w:type="dxa"/>
              <w:right w:w="100" w:type="dxa"/>
            </w:tcMar>
            <w:vAlign w:val="center"/>
          </w:tcPr>
          <w:p w14:paraId="4A0A215D" w14:textId="77777777" w:rsidR="006C4F12" w:rsidRDefault="00827A53">
            <w:pPr>
              <w:widowControl w:val="0"/>
              <w:spacing w:line="240" w:lineRule="auto"/>
              <w:jc w:val="center"/>
              <w:rPr>
                <w:sz w:val="18"/>
                <w:szCs w:val="18"/>
              </w:rPr>
            </w:pPr>
            <w:r>
              <w:rPr>
                <w:sz w:val="18"/>
                <w:szCs w:val="18"/>
              </w:rPr>
              <w:t xml:space="preserve">The mortality data consists of </w:t>
            </w:r>
            <w:r>
              <w:rPr>
                <w:sz w:val="18"/>
                <w:szCs w:val="18"/>
              </w:rPr>
              <w:t>2512 deaths, 1332 deaths were male (53%) and 1180 deaths were female (47%). The results show no significant relationship for high temperature on all mortality. Deaths among males and people</w:t>
            </w:r>
          </w:p>
          <w:p w14:paraId="01AEB911" w14:textId="77777777" w:rsidR="006C4F12" w:rsidRDefault="00827A53">
            <w:pPr>
              <w:widowControl w:val="0"/>
              <w:spacing w:line="240" w:lineRule="auto"/>
              <w:jc w:val="center"/>
              <w:rPr>
                <w:sz w:val="18"/>
                <w:szCs w:val="18"/>
              </w:rPr>
            </w:pPr>
            <w:r>
              <w:rPr>
                <w:sz w:val="18"/>
                <w:szCs w:val="18"/>
              </w:rPr>
              <w:t>aged 50 were associated with low temperatures though these relationships were not statistically significant.</w:t>
            </w:r>
          </w:p>
        </w:tc>
      </w:tr>
      <w:tr w:rsidR="006C4F12" w14:paraId="3DFE658E" w14:textId="77777777">
        <w:trPr>
          <w:trHeight w:val="1643"/>
        </w:trPr>
        <w:tc>
          <w:tcPr>
            <w:tcW w:w="1815" w:type="dxa"/>
            <w:shd w:val="clear" w:color="auto" w:fill="F4CCCC"/>
            <w:tcMar>
              <w:top w:w="100" w:type="dxa"/>
              <w:left w:w="100" w:type="dxa"/>
              <w:bottom w:w="100" w:type="dxa"/>
              <w:right w:w="100" w:type="dxa"/>
            </w:tcMar>
            <w:vAlign w:val="center"/>
          </w:tcPr>
          <w:p w14:paraId="0A49C24B" w14:textId="77777777" w:rsidR="006C4F12" w:rsidRDefault="00827A53">
            <w:pPr>
              <w:widowControl w:val="0"/>
              <w:spacing w:line="240" w:lineRule="auto"/>
              <w:jc w:val="center"/>
              <w:rPr>
                <w:sz w:val="18"/>
                <w:szCs w:val="18"/>
              </w:rPr>
            </w:pPr>
            <w:r>
              <w:rPr>
                <w:sz w:val="18"/>
                <w:szCs w:val="18"/>
              </w:rPr>
              <w:t xml:space="preserve">The short-term association of temperature and rainfall with mortality in </w:t>
            </w:r>
            <w:proofErr w:type="spellStart"/>
            <w:r>
              <w:rPr>
                <w:sz w:val="18"/>
                <w:szCs w:val="18"/>
              </w:rPr>
              <w:t>Vadu</w:t>
            </w:r>
            <w:proofErr w:type="spellEnd"/>
            <w:r>
              <w:rPr>
                <w:sz w:val="18"/>
                <w:szCs w:val="18"/>
              </w:rPr>
              <w:t xml:space="preserve"> Health and Demographic Surveillance System: a population level time series analysis</w:t>
            </w:r>
          </w:p>
        </w:tc>
        <w:tc>
          <w:tcPr>
            <w:tcW w:w="930" w:type="dxa"/>
            <w:shd w:val="clear" w:color="auto" w:fill="F4CCCC"/>
            <w:tcMar>
              <w:top w:w="100" w:type="dxa"/>
              <w:left w:w="100" w:type="dxa"/>
              <w:bottom w:w="100" w:type="dxa"/>
              <w:right w:w="100" w:type="dxa"/>
            </w:tcMar>
            <w:vAlign w:val="center"/>
          </w:tcPr>
          <w:p w14:paraId="4AAF7F07" w14:textId="77777777" w:rsidR="006C4F12" w:rsidRDefault="00827A53">
            <w:pPr>
              <w:widowControl w:val="0"/>
              <w:spacing w:line="240" w:lineRule="auto"/>
              <w:jc w:val="center"/>
              <w:rPr>
                <w:sz w:val="18"/>
                <w:szCs w:val="18"/>
              </w:rPr>
            </w:pPr>
            <w:r>
              <w:rPr>
                <w:sz w:val="18"/>
                <w:szCs w:val="18"/>
              </w:rPr>
              <w:t>Ingole et al.</w:t>
            </w:r>
          </w:p>
        </w:tc>
        <w:tc>
          <w:tcPr>
            <w:tcW w:w="1050" w:type="dxa"/>
            <w:shd w:val="clear" w:color="auto" w:fill="F4CCCC"/>
            <w:tcMar>
              <w:top w:w="100" w:type="dxa"/>
              <w:left w:w="100" w:type="dxa"/>
              <w:bottom w:w="100" w:type="dxa"/>
              <w:right w:w="100" w:type="dxa"/>
            </w:tcMar>
            <w:vAlign w:val="center"/>
          </w:tcPr>
          <w:p w14:paraId="49A909D5" w14:textId="77777777" w:rsidR="006C4F12" w:rsidRDefault="00827A53">
            <w:pPr>
              <w:widowControl w:val="0"/>
              <w:spacing w:line="240" w:lineRule="auto"/>
              <w:jc w:val="center"/>
              <w:rPr>
                <w:sz w:val="18"/>
                <w:szCs w:val="18"/>
              </w:rPr>
            </w:pPr>
            <w:r>
              <w:rPr>
                <w:sz w:val="18"/>
                <w:szCs w:val="18"/>
              </w:rPr>
              <w:t>31</w:t>
            </w:r>
          </w:p>
        </w:tc>
        <w:tc>
          <w:tcPr>
            <w:tcW w:w="1515" w:type="dxa"/>
            <w:shd w:val="clear" w:color="auto" w:fill="F4CCCC"/>
            <w:tcMar>
              <w:top w:w="100" w:type="dxa"/>
              <w:left w:w="100" w:type="dxa"/>
              <w:bottom w:w="100" w:type="dxa"/>
              <w:right w:w="100" w:type="dxa"/>
            </w:tcMar>
            <w:vAlign w:val="center"/>
          </w:tcPr>
          <w:p w14:paraId="74EB057F" w14:textId="77777777" w:rsidR="006C4F12" w:rsidRDefault="00827A53">
            <w:pPr>
              <w:widowControl w:val="0"/>
              <w:spacing w:line="240" w:lineRule="auto"/>
              <w:jc w:val="center"/>
              <w:rPr>
                <w:sz w:val="18"/>
                <w:szCs w:val="18"/>
              </w:rPr>
            </w:pPr>
            <w:r>
              <w:rPr>
                <w:sz w:val="18"/>
                <w:szCs w:val="18"/>
              </w:rPr>
              <w:t>Global Health Action</w:t>
            </w:r>
          </w:p>
        </w:tc>
        <w:tc>
          <w:tcPr>
            <w:tcW w:w="1065" w:type="dxa"/>
            <w:shd w:val="clear" w:color="auto" w:fill="F4CCCC"/>
            <w:tcMar>
              <w:top w:w="100" w:type="dxa"/>
              <w:left w:w="100" w:type="dxa"/>
              <w:bottom w:w="100" w:type="dxa"/>
              <w:right w:w="100" w:type="dxa"/>
            </w:tcMar>
            <w:vAlign w:val="center"/>
          </w:tcPr>
          <w:p w14:paraId="773EC029" w14:textId="77777777" w:rsidR="006C4F12" w:rsidRDefault="00827A53">
            <w:pPr>
              <w:widowControl w:val="0"/>
              <w:spacing w:line="240" w:lineRule="auto"/>
              <w:jc w:val="center"/>
              <w:rPr>
                <w:sz w:val="18"/>
                <w:szCs w:val="18"/>
              </w:rPr>
            </w:pPr>
            <w:r>
              <w:rPr>
                <w:sz w:val="18"/>
                <w:szCs w:val="18"/>
              </w:rPr>
              <w:t>2012</w:t>
            </w:r>
          </w:p>
        </w:tc>
        <w:tc>
          <w:tcPr>
            <w:tcW w:w="705" w:type="dxa"/>
            <w:shd w:val="clear" w:color="auto" w:fill="F4CCCC"/>
            <w:tcMar>
              <w:top w:w="100" w:type="dxa"/>
              <w:left w:w="100" w:type="dxa"/>
              <w:bottom w:w="100" w:type="dxa"/>
              <w:right w:w="100" w:type="dxa"/>
            </w:tcMar>
            <w:vAlign w:val="center"/>
          </w:tcPr>
          <w:p w14:paraId="3D5EDBCE" w14:textId="77777777" w:rsidR="006C4F12" w:rsidRDefault="00827A53">
            <w:pPr>
              <w:widowControl w:val="0"/>
              <w:spacing w:line="240" w:lineRule="auto"/>
              <w:jc w:val="center"/>
              <w:rPr>
                <w:sz w:val="18"/>
                <w:szCs w:val="18"/>
              </w:rPr>
            </w:pPr>
            <w:r>
              <w:rPr>
                <w:sz w:val="18"/>
                <w:szCs w:val="18"/>
              </w:rPr>
              <w:t>2003 - 2010</w:t>
            </w:r>
          </w:p>
        </w:tc>
        <w:tc>
          <w:tcPr>
            <w:tcW w:w="1260" w:type="dxa"/>
            <w:shd w:val="clear" w:color="auto" w:fill="F4CCCC"/>
            <w:tcMar>
              <w:top w:w="100" w:type="dxa"/>
              <w:left w:w="100" w:type="dxa"/>
              <w:bottom w:w="100" w:type="dxa"/>
              <w:right w:w="100" w:type="dxa"/>
            </w:tcMar>
            <w:vAlign w:val="center"/>
          </w:tcPr>
          <w:p w14:paraId="7B2351DD" w14:textId="77777777" w:rsidR="006C4F12" w:rsidRDefault="00827A53">
            <w:pPr>
              <w:widowControl w:val="0"/>
              <w:spacing w:line="240" w:lineRule="auto"/>
              <w:jc w:val="center"/>
              <w:rPr>
                <w:sz w:val="18"/>
                <w:szCs w:val="18"/>
              </w:rPr>
            </w:pPr>
            <w:r>
              <w:rPr>
                <w:sz w:val="18"/>
                <w:szCs w:val="18"/>
              </w:rPr>
              <w:t>Pune, India</w:t>
            </w:r>
          </w:p>
        </w:tc>
        <w:tc>
          <w:tcPr>
            <w:tcW w:w="1110" w:type="dxa"/>
            <w:shd w:val="clear" w:color="auto" w:fill="F4CCCC"/>
            <w:tcMar>
              <w:top w:w="100" w:type="dxa"/>
              <w:left w:w="100" w:type="dxa"/>
              <w:bottom w:w="100" w:type="dxa"/>
              <w:right w:w="100" w:type="dxa"/>
            </w:tcMar>
            <w:vAlign w:val="center"/>
          </w:tcPr>
          <w:p w14:paraId="150877EF" w14:textId="77777777" w:rsidR="006C4F12" w:rsidRDefault="00827A53">
            <w:pPr>
              <w:widowControl w:val="0"/>
              <w:spacing w:line="240" w:lineRule="auto"/>
              <w:jc w:val="center"/>
              <w:rPr>
                <w:sz w:val="18"/>
                <w:szCs w:val="18"/>
              </w:rPr>
            </w:pPr>
            <w:r>
              <w:rPr>
                <w:sz w:val="18"/>
                <w:szCs w:val="18"/>
              </w:rPr>
              <w:t>Daily data</w:t>
            </w:r>
          </w:p>
        </w:tc>
        <w:tc>
          <w:tcPr>
            <w:tcW w:w="5115" w:type="dxa"/>
            <w:shd w:val="clear" w:color="auto" w:fill="F4CCCC"/>
            <w:tcMar>
              <w:top w:w="100" w:type="dxa"/>
              <w:left w:w="100" w:type="dxa"/>
              <w:bottom w:w="100" w:type="dxa"/>
              <w:right w:w="100" w:type="dxa"/>
            </w:tcMar>
            <w:vAlign w:val="center"/>
          </w:tcPr>
          <w:p w14:paraId="00EDCDD7" w14:textId="77777777" w:rsidR="006C4F12" w:rsidRDefault="00827A53">
            <w:pPr>
              <w:widowControl w:val="0"/>
              <w:spacing w:line="240" w:lineRule="auto"/>
              <w:jc w:val="center"/>
              <w:rPr>
                <w:sz w:val="18"/>
                <w:szCs w:val="18"/>
              </w:rPr>
            </w:pPr>
            <w:r>
              <w:rPr>
                <w:sz w:val="18"/>
                <w:szCs w:val="18"/>
              </w:rPr>
              <w:t>The mortality data consists of 1662 deaths, 954 deaths were male (57.4%) and 708 were female (42.6%). Strong associations with temperature and rainfall exist for all-cause mortality over all age groups. The effects could be seen for both high and low temperatures, and up to 2 weeks following rainfall. In particular, the associations were strongest among children, women, and the elderly.</w:t>
            </w:r>
          </w:p>
        </w:tc>
      </w:tr>
      <w:tr w:rsidR="006C4F12" w14:paraId="0F59274E" w14:textId="77777777">
        <w:trPr>
          <w:trHeight w:val="1643"/>
        </w:trPr>
        <w:tc>
          <w:tcPr>
            <w:tcW w:w="1815" w:type="dxa"/>
            <w:shd w:val="clear" w:color="auto" w:fill="CFE2F3"/>
            <w:tcMar>
              <w:top w:w="100" w:type="dxa"/>
              <w:left w:w="100" w:type="dxa"/>
              <w:bottom w:w="100" w:type="dxa"/>
              <w:right w:w="100" w:type="dxa"/>
            </w:tcMar>
            <w:vAlign w:val="center"/>
          </w:tcPr>
          <w:p w14:paraId="638AD81E" w14:textId="77777777" w:rsidR="006C4F12" w:rsidRDefault="00827A53">
            <w:pPr>
              <w:widowControl w:val="0"/>
              <w:spacing w:line="240" w:lineRule="auto"/>
              <w:jc w:val="center"/>
              <w:rPr>
                <w:sz w:val="18"/>
                <w:szCs w:val="18"/>
              </w:rPr>
            </w:pPr>
            <w:r>
              <w:rPr>
                <w:sz w:val="18"/>
                <w:szCs w:val="18"/>
              </w:rPr>
              <w:lastRenderedPageBreak/>
              <w:t xml:space="preserve">The association of meteorological factors and mortality in rural </w:t>
            </w:r>
            <w:r>
              <w:rPr>
                <w:sz w:val="18"/>
                <w:szCs w:val="18"/>
              </w:rPr>
              <w:t>Bangladesh, 1983–2009</w:t>
            </w:r>
          </w:p>
        </w:tc>
        <w:tc>
          <w:tcPr>
            <w:tcW w:w="930" w:type="dxa"/>
            <w:shd w:val="clear" w:color="auto" w:fill="CFE2F3"/>
            <w:tcMar>
              <w:top w:w="100" w:type="dxa"/>
              <w:left w:w="100" w:type="dxa"/>
              <w:bottom w:w="100" w:type="dxa"/>
              <w:right w:w="100" w:type="dxa"/>
            </w:tcMar>
            <w:vAlign w:val="center"/>
          </w:tcPr>
          <w:p w14:paraId="6091F2E7" w14:textId="77777777" w:rsidR="006C4F12" w:rsidRDefault="00827A53">
            <w:pPr>
              <w:widowControl w:val="0"/>
              <w:spacing w:line="240" w:lineRule="auto"/>
              <w:jc w:val="center"/>
              <w:rPr>
                <w:sz w:val="18"/>
                <w:szCs w:val="18"/>
              </w:rPr>
            </w:pPr>
            <w:proofErr w:type="spellStart"/>
            <w:r>
              <w:rPr>
                <w:sz w:val="18"/>
                <w:szCs w:val="18"/>
              </w:rPr>
              <w:t>Lindeboom</w:t>
            </w:r>
            <w:proofErr w:type="spellEnd"/>
            <w:r>
              <w:rPr>
                <w:sz w:val="18"/>
                <w:szCs w:val="18"/>
              </w:rPr>
              <w:t xml:space="preserve"> et al.</w:t>
            </w:r>
          </w:p>
        </w:tc>
        <w:tc>
          <w:tcPr>
            <w:tcW w:w="1050" w:type="dxa"/>
            <w:shd w:val="clear" w:color="auto" w:fill="CFE2F3"/>
            <w:tcMar>
              <w:top w:w="100" w:type="dxa"/>
              <w:left w:w="100" w:type="dxa"/>
              <w:bottom w:w="100" w:type="dxa"/>
              <w:right w:w="100" w:type="dxa"/>
            </w:tcMar>
            <w:vAlign w:val="center"/>
          </w:tcPr>
          <w:p w14:paraId="5A20795C" w14:textId="77777777" w:rsidR="006C4F12" w:rsidRDefault="00827A53">
            <w:pPr>
              <w:widowControl w:val="0"/>
              <w:spacing w:line="240" w:lineRule="auto"/>
              <w:jc w:val="center"/>
              <w:rPr>
                <w:sz w:val="18"/>
                <w:szCs w:val="18"/>
              </w:rPr>
            </w:pPr>
            <w:r>
              <w:rPr>
                <w:sz w:val="18"/>
                <w:szCs w:val="18"/>
              </w:rPr>
              <w:t>39</w:t>
            </w:r>
          </w:p>
        </w:tc>
        <w:tc>
          <w:tcPr>
            <w:tcW w:w="1515" w:type="dxa"/>
            <w:shd w:val="clear" w:color="auto" w:fill="CFE2F3"/>
            <w:tcMar>
              <w:top w:w="100" w:type="dxa"/>
              <w:left w:w="100" w:type="dxa"/>
              <w:bottom w:w="100" w:type="dxa"/>
              <w:right w:w="100" w:type="dxa"/>
            </w:tcMar>
            <w:vAlign w:val="center"/>
          </w:tcPr>
          <w:p w14:paraId="2ADC986A" w14:textId="77777777" w:rsidR="006C4F12" w:rsidRDefault="00827A53">
            <w:pPr>
              <w:widowControl w:val="0"/>
              <w:spacing w:line="240" w:lineRule="auto"/>
              <w:jc w:val="center"/>
              <w:rPr>
                <w:sz w:val="18"/>
                <w:szCs w:val="18"/>
              </w:rPr>
            </w:pPr>
            <w:r>
              <w:rPr>
                <w:sz w:val="18"/>
                <w:szCs w:val="18"/>
              </w:rPr>
              <w:t>Global Health Action</w:t>
            </w:r>
          </w:p>
        </w:tc>
        <w:tc>
          <w:tcPr>
            <w:tcW w:w="1065" w:type="dxa"/>
            <w:shd w:val="clear" w:color="auto" w:fill="CFE2F3"/>
            <w:tcMar>
              <w:top w:w="100" w:type="dxa"/>
              <w:left w:w="100" w:type="dxa"/>
              <w:bottom w:w="100" w:type="dxa"/>
              <w:right w:w="100" w:type="dxa"/>
            </w:tcMar>
            <w:vAlign w:val="center"/>
          </w:tcPr>
          <w:p w14:paraId="6BCFD3C0" w14:textId="77777777" w:rsidR="006C4F12" w:rsidRDefault="00827A53">
            <w:pPr>
              <w:widowControl w:val="0"/>
              <w:spacing w:line="240" w:lineRule="auto"/>
              <w:jc w:val="center"/>
              <w:rPr>
                <w:sz w:val="18"/>
                <w:szCs w:val="18"/>
              </w:rPr>
            </w:pPr>
            <w:r>
              <w:rPr>
                <w:sz w:val="18"/>
                <w:szCs w:val="18"/>
              </w:rPr>
              <w:t>2012</w:t>
            </w:r>
          </w:p>
        </w:tc>
        <w:tc>
          <w:tcPr>
            <w:tcW w:w="705" w:type="dxa"/>
            <w:shd w:val="clear" w:color="auto" w:fill="CFE2F3"/>
            <w:tcMar>
              <w:top w:w="100" w:type="dxa"/>
              <w:left w:w="100" w:type="dxa"/>
              <w:bottom w:w="100" w:type="dxa"/>
              <w:right w:w="100" w:type="dxa"/>
            </w:tcMar>
            <w:vAlign w:val="center"/>
          </w:tcPr>
          <w:p w14:paraId="1EFB6443" w14:textId="77777777" w:rsidR="006C4F12" w:rsidRDefault="00827A53">
            <w:pPr>
              <w:widowControl w:val="0"/>
              <w:spacing w:line="240" w:lineRule="auto"/>
              <w:jc w:val="center"/>
              <w:rPr>
                <w:sz w:val="18"/>
                <w:szCs w:val="18"/>
              </w:rPr>
            </w:pPr>
            <w:r>
              <w:rPr>
                <w:sz w:val="18"/>
                <w:szCs w:val="18"/>
              </w:rPr>
              <w:t xml:space="preserve">1983 - 2009 </w:t>
            </w:r>
          </w:p>
        </w:tc>
        <w:tc>
          <w:tcPr>
            <w:tcW w:w="1260" w:type="dxa"/>
            <w:shd w:val="clear" w:color="auto" w:fill="CFE2F3"/>
            <w:tcMar>
              <w:top w:w="100" w:type="dxa"/>
              <w:left w:w="100" w:type="dxa"/>
              <w:bottom w:w="100" w:type="dxa"/>
              <w:right w:w="100" w:type="dxa"/>
            </w:tcMar>
            <w:vAlign w:val="center"/>
          </w:tcPr>
          <w:p w14:paraId="2D422D64" w14:textId="77777777" w:rsidR="006C4F12" w:rsidRDefault="00827A53">
            <w:pPr>
              <w:widowControl w:val="0"/>
              <w:spacing w:line="240" w:lineRule="auto"/>
              <w:jc w:val="center"/>
              <w:rPr>
                <w:sz w:val="18"/>
                <w:szCs w:val="18"/>
              </w:rPr>
            </w:pPr>
            <w:r>
              <w:rPr>
                <w:sz w:val="18"/>
                <w:szCs w:val="18"/>
              </w:rPr>
              <w:t xml:space="preserve"> Bangladesh</w:t>
            </w:r>
          </w:p>
        </w:tc>
        <w:tc>
          <w:tcPr>
            <w:tcW w:w="1110" w:type="dxa"/>
            <w:shd w:val="clear" w:color="auto" w:fill="CFE2F3"/>
            <w:tcMar>
              <w:top w:w="100" w:type="dxa"/>
              <w:left w:w="100" w:type="dxa"/>
              <w:bottom w:w="100" w:type="dxa"/>
              <w:right w:w="100" w:type="dxa"/>
            </w:tcMar>
            <w:vAlign w:val="center"/>
          </w:tcPr>
          <w:p w14:paraId="5ED42101" w14:textId="4AE1139E" w:rsidR="006C4F12" w:rsidRDefault="00477625">
            <w:pPr>
              <w:widowControl w:val="0"/>
              <w:spacing w:line="240" w:lineRule="auto"/>
              <w:jc w:val="center"/>
              <w:rPr>
                <w:sz w:val="18"/>
                <w:szCs w:val="18"/>
              </w:rPr>
            </w:pPr>
            <w:r>
              <w:rPr>
                <w:rFonts w:hint="eastAsia"/>
                <w:sz w:val="18"/>
                <w:szCs w:val="18"/>
                <w:lang w:eastAsia="zh-TW"/>
              </w:rPr>
              <w:t>M</w:t>
            </w:r>
            <w:r>
              <w:rPr>
                <w:sz w:val="18"/>
                <w:szCs w:val="18"/>
              </w:rPr>
              <w:t>onthly and bimonthly data</w:t>
            </w:r>
          </w:p>
        </w:tc>
        <w:tc>
          <w:tcPr>
            <w:tcW w:w="5115" w:type="dxa"/>
            <w:shd w:val="clear" w:color="auto" w:fill="CFE2F3"/>
            <w:tcMar>
              <w:top w:w="100" w:type="dxa"/>
              <w:left w:w="100" w:type="dxa"/>
              <w:bottom w:w="100" w:type="dxa"/>
              <w:right w:w="100" w:type="dxa"/>
            </w:tcMar>
            <w:vAlign w:val="center"/>
          </w:tcPr>
          <w:p w14:paraId="0B030EBD" w14:textId="77777777" w:rsidR="006C4F12" w:rsidRPr="00477625" w:rsidRDefault="00827A53">
            <w:pPr>
              <w:widowControl w:val="0"/>
              <w:spacing w:line="240" w:lineRule="auto"/>
              <w:jc w:val="center"/>
              <w:rPr>
                <w:sz w:val="18"/>
                <w:szCs w:val="18"/>
              </w:rPr>
            </w:pPr>
            <w:r w:rsidRPr="00477625">
              <w:rPr>
                <w:rFonts w:eastAsia="Arial Unicode MS"/>
                <w:sz w:val="18"/>
                <w:szCs w:val="18"/>
              </w:rPr>
              <w:t xml:space="preserve">48,238 deaths were registered, summary statistics of gender is not provided. Association of heat mortality with combined lags mean </w:t>
            </w:r>
            <w:r w:rsidRPr="00477625">
              <w:rPr>
                <w:rFonts w:eastAsia="Arial Unicode MS"/>
                <w:sz w:val="18"/>
                <w:szCs w:val="18"/>
              </w:rPr>
              <w:t>temperature after adjusting for trend and seasonality: -3.2 (−5.1, −1.3) for male under 25th percentile, -2.9 (−4.6, −1.2) for male in 25-75th percentile, 0.2 (0.0, 0.4) for male over 75th percentile; -2.2 (−4.3, −0.2) for female under 25th percentile, -2.3 (−4.1, −0.5) for female in 25-75th percentile, 0.2 (−0.1, 0.4) for female over 75th percentile</w:t>
            </w:r>
          </w:p>
        </w:tc>
      </w:tr>
      <w:tr w:rsidR="006C4F12" w14:paraId="3EB3736F" w14:textId="77777777">
        <w:trPr>
          <w:trHeight w:val="1643"/>
        </w:trPr>
        <w:tc>
          <w:tcPr>
            <w:tcW w:w="1815" w:type="dxa"/>
            <w:shd w:val="clear" w:color="auto" w:fill="F4CCCC"/>
            <w:tcMar>
              <w:top w:w="100" w:type="dxa"/>
              <w:left w:w="100" w:type="dxa"/>
              <w:bottom w:w="100" w:type="dxa"/>
              <w:right w:w="100" w:type="dxa"/>
            </w:tcMar>
            <w:vAlign w:val="center"/>
          </w:tcPr>
          <w:p w14:paraId="6A45891D" w14:textId="77777777" w:rsidR="006C4F12" w:rsidRDefault="00827A53">
            <w:pPr>
              <w:widowControl w:val="0"/>
              <w:spacing w:line="240" w:lineRule="auto"/>
              <w:jc w:val="center"/>
              <w:rPr>
                <w:sz w:val="18"/>
                <w:szCs w:val="18"/>
              </w:rPr>
            </w:pPr>
            <w:r>
              <w:rPr>
                <w:sz w:val="18"/>
                <w:szCs w:val="18"/>
              </w:rPr>
              <w:t>Daily temperature and mortality: a study of distributed lag non-linear effect and effect modification in Guangzhou</w:t>
            </w:r>
          </w:p>
        </w:tc>
        <w:tc>
          <w:tcPr>
            <w:tcW w:w="930" w:type="dxa"/>
            <w:shd w:val="clear" w:color="auto" w:fill="F4CCCC"/>
            <w:tcMar>
              <w:top w:w="100" w:type="dxa"/>
              <w:left w:w="100" w:type="dxa"/>
              <w:bottom w:w="100" w:type="dxa"/>
              <w:right w:w="100" w:type="dxa"/>
            </w:tcMar>
            <w:vAlign w:val="center"/>
          </w:tcPr>
          <w:p w14:paraId="08AA1D11" w14:textId="77777777" w:rsidR="006C4F12" w:rsidRDefault="00827A53">
            <w:pPr>
              <w:widowControl w:val="0"/>
              <w:spacing w:line="240" w:lineRule="auto"/>
              <w:jc w:val="center"/>
              <w:rPr>
                <w:sz w:val="18"/>
                <w:szCs w:val="18"/>
              </w:rPr>
            </w:pPr>
            <w:r>
              <w:rPr>
                <w:sz w:val="18"/>
                <w:szCs w:val="18"/>
              </w:rPr>
              <w:t>Yang et al.</w:t>
            </w:r>
          </w:p>
        </w:tc>
        <w:tc>
          <w:tcPr>
            <w:tcW w:w="1050" w:type="dxa"/>
            <w:shd w:val="clear" w:color="auto" w:fill="F4CCCC"/>
            <w:tcMar>
              <w:top w:w="100" w:type="dxa"/>
              <w:left w:w="100" w:type="dxa"/>
              <w:bottom w:w="100" w:type="dxa"/>
              <w:right w:w="100" w:type="dxa"/>
            </w:tcMar>
            <w:vAlign w:val="center"/>
          </w:tcPr>
          <w:p w14:paraId="0129CE80" w14:textId="77777777" w:rsidR="006C4F12" w:rsidRDefault="00827A53">
            <w:pPr>
              <w:widowControl w:val="0"/>
              <w:spacing w:line="240" w:lineRule="auto"/>
              <w:jc w:val="center"/>
              <w:rPr>
                <w:sz w:val="18"/>
                <w:szCs w:val="18"/>
              </w:rPr>
            </w:pPr>
            <w:r>
              <w:rPr>
                <w:sz w:val="18"/>
                <w:szCs w:val="18"/>
              </w:rPr>
              <w:t>245</w:t>
            </w:r>
          </w:p>
        </w:tc>
        <w:tc>
          <w:tcPr>
            <w:tcW w:w="1515" w:type="dxa"/>
            <w:shd w:val="clear" w:color="auto" w:fill="F4CCCC"/>
            <w:tcMar>
              <w:top w:w="100" w:type="dxa"/>
              <w:left w:w="100" w:type="dxa"/>
              <w:bottom w:w="100" w:type="dxa"/>
              <w:right w:w="100" w:type="dxa"/>
            </w:tcMar>
            <w:vAlign w:val="center"/>
          </w:tcPr>
          <w:p w14:paraId="3BE3B641" w14:textId="77777777" w:rsidR="006C4F12" w:rsidRDefault="00827A53">
            <w:pPr>
              <w:widowControl w:val="0"/>
              <w:spacing w:line="240" w:lineRule="auto"/>
              <w:jc w:val="center"/>
              <w:rPr>
                <w:sz w:val="18"/>
                <w:szCs w:val="18"/>
              </w:rPr>
            </w:pPr>
            <w:r>
              <w:rPr>
                <w:sz w:val="18"/>
                <w:szCs w:val="18"/>
              </w:rPr>
              <w:t>Environmental Health</w:t>
            </w:r>
          </w:p>
        </w:tc>
        <w:tc>
          <w:tcPr>
            <w:tcW w:w="1065" w:type="dxa"/>
            <w:shd w:val="clear" w:color="auto" w:fill="F4CCCC"/>
            <w:tcMar>
              <w:top w:w="100" w:type="dxa"/>
              <w:left w:w="100" w:type="dxa"/>
              <w:bottom w:w="100" w:type="dxa"/>
              <w:right w:w="100" w:type="dxa"/>
            </w:tcMar>
            <w:vAlign w:val="center"/>
          </w:tcPr>
          <w:p w14:paraId="29D3A678" w14:textId="77777777" w:rsidR="006C4F12" w:rsidRDefault="00827A53">
            <w:pPr>
              <w:widowControl w:val="0"/>
              <w:spacing w:line="240" w:lineRule="auto"/>
              <w:jc w:val="center"/>
              <w:rPr>
                <w:sz w:val="18"/>
                <w:szCs w:val="18"/>
              </w:rPr>
            </w:pPr>
            <w:r>
              <w:rPr>
                <w:sz w:val="18"/>
                <w:szCs w:val="18"/>
              </w:rPr>
              <w:t>2012</w:t>
            </w:r>
          </w:p>
        </w:tc>
        <w:tc>
          <w:tcPr>
            <w:tcW w:w="705" w:type="dxa"/>
            <w:shd w:val="clear" w:color="auto" w:fill="F4CCCC"/>
            <w:tcMar>
              <w:top w:w="100" w:type="dxa"/>
              <w:left w:w="100" w:type="dxa"/>
              <w:bottom w:w="100" w:type="dxa"/>
              <w:right w:w="100" w:type="dxa"/>
            </w:tcMar>
            <w:vAlign w:val="center"/>
          </w:tcPr>
          <w:p w14:paraId="37A61A24" w14:textId="77777777" w:rsidR="006C4F12" w:rsidRDefault="00827A53">
            <w:pPr>
              <w:widowControl w:val="0"/>
              <w:spacing w:line="240" w:lineRule="auto"/>
              <w:jc w:val="center"/>
              <w:rPr>
                <w:sz w:val="18"/>
                <w:szCs w:val="18"/>
              </w:rPr>
            </w:pPr>
            <w:r>
              <w:rPr>
                <w:sz w:val="18"/>
                <w:szCs w:val="18"/>
              </w:rPr>
              <w:t>2003 - 2007</w:t>
            </w:r>
          </w:p>
        </w:tc>
        <w:tc>
          <w:tcPr>
            <w:tcW w:w="1260" w:type="dxa"/>
            <w:shd w:val="clear" w:color="auto" w:fill="F4CCCC"/>
            <w:tcMar>
              <w:top w:w="100" w:type="dxa"/>
              <w:left w:w="100" w:type="dxa"/>
              <w:bottom w:w="100" w:type="dxa"/>
              <w:right w:w="100" w:type="dxa"/>
            </w:tcMar>
            <w:vAlign w:val="center"/>
          </w:tcPr>
          <w:p w14:paraId="7A45BB07" w14:textId="77777777" w:rsidR="006C4F12" w:rsidRDefault="00827A53">
            <w:pPr>
              <w:widowControl w:val="0"/>
              <w:spacing w:line="240" w:lineRule="auto"/>
              <w:jc w:val="center"/>
              <w:rPr>
                <w:sz w:val="18"/>
                <w:szCs w:val="18"/>
              </w:rPr>
            </w:pPr>
            <w:r>
              <w:rPr>
                <w:sz w:val="18"/>
                <w:szCs w:val="18"/>
              </w:rPr>
              <w:t>Guangzhou, China</w:t>
            </w:r>
          </w:p>
        </w:tc>
        <w:tc>
          <w:tcPr>
            <w:tcW w:w="1110" w:type="dxa"/>
            <w:shd w:val="clear" w:color="auto" w:fill="F4CCCC"/>
            <w:tcMar>
              <w:top w:w="100" w:type="dxa"/>
              <w:left w:w="100" w:type="dxa"/>
              <w:bottom w:w="100" w:type="dxa"/>
              <w:right w:w="100" w:type="dxa"/>
            </w:tcMar>
            <w:vAlign w:val="center"/>
          </w:tcPr>
          <w:p w14:paraId="60250795" w14:textId="77777777" w:rsidR="006C4F12" w:rsidRDefault="00827A53">
            <w:pPr>
              <w:widowControl w:val="0"/>
              <w:spacing w:line="240" w:lineRule="auto"/>
              <w:jc w:val="center"/>
              <w:rPr>
                <w:sz w:val="18"/>
                <w:szCs w:val="18"/>
              </w:rPr>
            </w:pPr>
            <w:r>
              <w:rPr>
                <w:sz w:val="18"/>
                <w:szCs w:val="18"/>
              </w:rPr>
              <w:t>Daily data</w:t>
            </w:r>
          </w:p>
        </w:tc>
        <w:tc>
          <w:tcPr>
            <w:tcW w:w="5115" w:type="dxa"/>
            <w:shd w:val="clear" w:color="auto" w:fill="F4CCCC"/>
            <w:tcMar>
              <w:top w:w="100" w:type="dxa"/>
              <w:left w:w="100" w:type="dxa"/>
              <w:bottom w:w="100" w:type="dxa"/>
              <w:right w:w="100" w:type="dxa"/>
            </w:tcMar>
            <w:vAlign w:val="center"/>
          </w:tcPr>
          <w:p w14:paraId="07A0CBB4" w14:textId="77777777" w:rsidR="006C4F12" w:rsidRDefault="00827A53">
            <w:pPr>
              <w:widowControl w:val="0"/>
              <w:spacing w:line="240" w:lineRule="auto"/>
              <w:jc w:val="center"/>
              <w:rPr>
                <w:sz w:val="18"/>
                <w:szCs w:val="18"/>
              </w:rPr>
            </w:pPr>
            <w:r>
              <w:rPr>
                <w:sz w:val="18"/>
                <w:szCs w:val="18"/>
              </w:rPr>
              <w:t>The mortality data includes 112280 cases of deaths. Summary statistics for gender are not provided. Hot effects were significantly larger for females than males. On the contrary, males were at higher risk of cold effects compared to females but the difference was non-significant.</w:t>
            </w:r>
          </w:p>
        </w:tc>
      </w:tr>
      <w:tr w:rsidR="006C4F12" w14:paraId="4173597B" w14:textId="77777777">
        <w:trPr>
          <w:trHeight w:val="1643"/>
        </w:trPr>
        <w:tc>
          <w:tcPr>
            <w:tcW w:w="1815" w:type="dxa"/>
            <w:tcBorders>
              <w:top w:val="single" w:sz="5" w:space="0" w:color="000000"/>
            </w:tcBorders>
            <w:shd w:val="clear" w:color="auto" w:fill="F4CCCC"/>
            <w:tcMar>
              <w:top w:w="100" w:type="dxa"/>
              <w:left w:w="100" w:type="dxa"/>
              <w:bottom w:w="100" w:type="dxa"/>
              <w:right w:w="100" w:type="dxa"/>
            </w:tcMar>
            <w:vAlign w:val="center"/>
          </w:tcPr>
          <w:p w14:paraId="05604843" w14:textId="77777777" w:rsidR="006C4F12" w:rsidRDefault="00827A53">
            <w:pPr>
              <w:widowControl w:val="0"/>
              <w:spacing w:line="240" w:lineRule="auto"/>
              <w:jc w:val="center"/>
              <w:rPr>
                <w:sz w:val="18"/>
                <w:szCs w:val="18"/>
              </w:rPr>
            </w:pPr>
            <w:r>
              <w:rPr>
                <w:sz w:val="18"/>
                <w:szCs w:val="18"/>
              </w:rPr>
              <w:t>Heat-Related Mortality in India: Excess All-Cause Mortality Associated with the 2010 Ahmedabad Heat Wave</w:t>
            </w:r>
          </w:p>
        </w:tc>
        <w:tc>
          <w:tcPr>
            <w:tcW w:w="930" w:type="dxa"/>
            <w:tcBorders>
              <w:top w:val="single" w:sz="5" w:space="0" w:color="000000"/>
            </w:tcBorders>
            <w:shd w:val="clear" w:color="auto" w:fill="F4CCCC"/>
            <w:tcMar>
              <w:top w:w="100" w:type="dxa"/>
              <w:left w:w="100" w:type="dxa"/>
              <w:bottom w:w="100" w:type="dxa"/>
              <w:right w:w="100" w:type="dxa"/>
            </w:tcMar>
            <w:vAlign w:val="center"/>
          </w:tcPr>
          <w:p w14:paraId="59C0EB22" w14:textId="77777777" w:rsidR="006C4F12" w:rsidRDefault="00827A53">
            <w:pPr>
              <w:widowControl w:val="0"/>
              <w:spacing w:line="240" w:lineRule="auto"/>
              <w:jc w:val="center"/>
              <w:rPr>
                <w:sz w:val="18"/>
                <w:szCs w:val="18"/>
              </w:rPr>
            </w:pPr>
            <w:r>
              <w:rPr>
                <w:sz w:val="18"/>
                <w:szCs w:val="18"/>
              </w:rPr>
              <w:t>Azhar et al.</w:t>
            </w:r>
          </w:p>
        </w:tc>
        <w:tc>
          <w:tcPr>
            <w:tcW w:w="1050" w:type="dxa"/>
            <w:tcBorders>
              <w:top w:val="single" w:sz="5" w:space="0" w:color="000000"/>
            </w:tcBorders>
            <w:shd w:val="clear" w:color="auto" w:fill="F4CCCC"/>
            <w:tcMar>
              <w:top w:w="100" w:type="dxa"/>
              <w:left w:w="100" w:type="dxa"/>
              <w:bottom w:w="100" w:type="dxa"/>
              <w:right w:w="100" w:type="dxa"/>
            </w:tcMar>
            <w:vAlign w:val="center"/>
          </w:tcPr>
          <w:p w14:paraId="59096B6A" w14:textId="77777777" w:rsidR="006C4F12" w:rsidRDefault="00827A53">
            <w:pPr>
              <w:widowControl w:val="0"/>
              <w:spacing w:line="240" w:lineRule="auto"/>
              <w:jc w:val="center"/>
              <w:rPr>
                <w:sz w:val="18"/>
                <w:szCs w:val="18"/>
              </w:rPr>
            </w:pPr>
            <w:r>
              <w:rPr>
                <w:sz w:val="18"/>
                <w:szCs w:val="18"/>
              </w:rPr>
              <w:t>294</w:t>
            </w:r>
          </w:p>
        </w:tc>
        <w:tc>
          <w:tcPr>
            <w:tcW w:w="1515" w:type="dxa"/>
            <w:tcBorders>
              <w:top w:val="single" w:sz="5" w:space="0" w:color="000000"/>
            </w:tcBorders>
            <w:shd w:val="clear" w:color="auto" w:fill="F4CCCC"/>
            <w:tcMar>
              <w:top w:w="100" w:type="dxa"/>
              <w:left w:w="100" w:type="dxa"/>
              <w:bottom w:w="100" w:type="dxa"/>
              <w:right w:w="100" w:type="dxa"/>
            </w:tcMar>
            <w:vAlign w:val="center"/>
          </w:tcPr>
          <w:p w14:paraId="596AA935" w14:textId="77777777" w:rsidR="006C4F12" w:rsidRDefault="00827A53">
            <w:pPr>
              <w:widowControl w:val="0"/>
              <w:spacing w:line="240" w:lineRule="auto"/>
              <w:jc w:val="center"/>
              <w:rPr>
                <w:sz w:val="18"/>
                <w:szCs w:val="18"/>
              </w:rPr>
            </w:pPr>
            <w:r>
              <w:rPr>
                <w:sz w:val="18"/>
                <w:szCs w:val="18"/>
              </w:rPr>
              <w:t>PLOS ONE</w:t>
            </w:r>
          </w:p>
        </w:tc>
        <w:tc>
          <w:tcPr>
            <w:tcW w:w="1065" w:type="dxa"/>
            <w:tcBorders>
              <w:top w:val="single" w:sz="5" w:space="0" w:color="000000"/>
            </w:tcBorders>
            <w:shd w:val="clear" w:color="auto" w:fill="F4CCCC"/>
            <w:tcMar>
              <w:top w:w="100" w:type="dxa"/>
              <w:left w:w="100" w:type="dxa"/>
              <w:bottom w:w="100" w:type="dxa"/>
              <w:right w:w="100" w:type="dxa"/>
            </w:tcMar>
            <w:vAlign w:val="center"/>
          </w:tcPr>
          <w:p w14:paraId="6BEA3F14" w14:textId="77777777" w:rsidR="006C4F12" w:rsidRDefault="00827A53">
            <w:pPr>
              <w:widowControl w:val="0"/>
              <w:spacing w:line="240" w:lineRule="auto"/>
              <w:jc w:val="center"/>
              <w:rPr>
                <w:sz w:val="18"/>
                <w:szCs w:val="18"/>
              </w:rPr>
            </w:pPr>
            <w:r>
              <w:rPr>
                <w:sz w:val="18"/>
                <w:szCs w:val="18"/>
              </w:rPr>
              <w:t>2014</w:t>
            </w:r>
          </w:p>
        </w:tc>
        <w:tc>
          <w:tcPr>
            <w:tcW w:w="705" w:type="dxa"/>
            <w:tcBorders>
              <w:top w:val="single" w:sz="5" w:space="0" w:color="000000"/>
            </w:tcBorders>
            <w:shd w:val="clear" w:color="auto" w:fill="F4CCCC"/>
            <w:tcMar>
              <w:top w:w="100" w:type="dxa"/>
              <w:left w:w="100" w:type="dxa"/>
              <w:bottom w:w="100" w:type="dxa"/>
              <w:right w:w="100" w:type="dxa"/>
            </w:tcMar>
            <w:vAlign w:val="center"/>
          </w:tcPr>
          <w:p w14:paraId="1482C087" w14:textId="77777777" w:rsidR="006C4F12" w:rsidRDefault="00827A53">
            <w:pPr>
              <w:widowControl w:val="0"/>
              <w:spacing w:line="240" w:lineRule="auto"/>
              <w:jc w:val="center"/>
              <w:rPr>
                <w:sz w:val="18"/>
                <w:szCs w:val="18"/>
              </w:rPr>
            </w:pPr>
            <w:r>
              <w:rPr>
                <w:sz w:val="18"/>
                <w:szCs w:val="18"/>
              </w:rPr>
              <w:t>2009 - 2011</w:t>
            </w:r>
          </w:p>
          <w:p w14:paraId="7720C1D9" w14:textId="77777777" w:rsidR="006C4F12" w:rsidRDefault="006C4F12">
            <w:pPr>
              <w:widowControl w:val="0"/>
              <w:spacing w:line="240" w:lineRule="auto"/>
              <w:jc w:val="center"/>
              <w:rPr>
                <w:sz w:val="18"/>
                <w:szCs w:val="18"/>
              </w:rPr>
            </w:pPr>
          </w:p>
        </w:tc>
        <w:tc>
          <w:tcPr>
            <w:tcW w:w="1260" w:type="dxa"/>
            <w:tcBorders>
              <w:top w:val="single" w:sz="5" w:space="0" w:color="000000"/>
            </w:tcBorders>
            <w:shd w:val="clear" w:color="auto" w:fill="F4CCCC"/>
            <w:tcMar>
              <w:top w:w="100" w:type="dxa"/>
              <w:left w:w="100" w:type="dxa"/>
              <w:bottom w:w="100" w:type="dxa"/>
              <w:right w:w="100" w:type="dxa"/>
            </w:tcMar>
            <w:vAlign w:val="center"/>
          </w:tcPr>
          <w:p w14:paraId="3EB9949F" w14:textId="77777777" w:rsidR="006C4F12" w:rsidRDefault="00827A53">
            <w:pPr>
              <w:widowControl w:val="0"/>
              <w:spacing w:line="240" w:lineRule="auto"/>
              <w:jc w:val="center"/>
              <w:rPr>
                <w:sz w:val="18"/>
                <w:szCs w:val="18"/>
              </w:rPr>
            </w:pPr>
            <w:r>
              <w:rPr>
                <w:sz w:val="18"/>
                <w:szCs w:val="18"/>
              </w:rPr>
              <w:t>Ahmedabad, India</w:t>
            </w:r>
          </w:p>
        </w:tc>
        <w:tc>
          <w:tcPr>
            <w:tcW w:w="1110" w:type="dxa"/>
            <w:tcBorders>
              <w:top w:val="single" w:sz="5" w:space="0" w:color="000000"/>
            </w:tcBorders>
            <w:shd w:val="clear" w:color="auto" w:fill="F4CCCC"/>
            <w:tcMar>
              <w:top w:w="100" w:type="dxa"/>
              <w:left w:w="100" w:type="dxa"/>
              <w:bottom w:w="100" w:type="dxa"/>
              <w:right w:w="100" w:type="dxa"/>
            </w:tcMar>
            <w:vAlign w:val="center"/>
          </w:tcPr>
          <w:p w14:paraId="70877C17" w14:textId="77777777" w:rsidR="006C4F12" w:rsidRDefault="00827A53">
            <w:pPr>
              <w:widowControl w:val="0"/>
              <w:spacing w:line="240" w:lineRule="auto"/>
              <w:jc w:val="center"/>
              <w:rPr>
                <w:sz w:val="18"/>
                <w:szCs w:val="18"/>
              </w:rPr>
            </w:pPr>
            <w:r>
              <w:rPr>
                <w:sz w:val="18"/>
                <w:szCs w:val="18"/>
              </w:rPr>
              <w:t>Daily data</w:t>
            </w:r>
          </w:p>
        </w:tc>
        <w:tc>
          <w:tcPr>
            <w:tcW w:w="5115" w:type="dxa"/>
            <w:shd w:val="clear" w:color="auto" w:fill="F4CCCC"/>
            <w:tcMar>
              <w:top w:w="100" w:type="dxa"/>
              <w:left w:w="100" w:type="dxa"/>
              <w:bottom w:w="100" w:type="dxa"/>
              <w:right w:w="100" w:type="dxa"/>
            </w:tcMar>
            <w:vAlign w:val="center"/>
          </w:tcPr>
          <w:p w14:paraId="18B06084" w14:textId="77777777" w:rsidR="006C4F12" w:rsidRDefault="00827A53">
            <w:pPr>
              <w:widowControl w:val="0"/>
              <w:spacing w:line="240" w:lineRule="auto"/>
              <w:jc w:val="center"/>
            </w:pPr>
            <w:r>
              <w:rPr>
                <w:sz w:val="18"/>
                <w:szCs w:val="18"/>
              </w:rPr>
              <w:t>115998 cases of deaths are considered in the study, 68977 are men (59.46%) and 47021 are women (40.54%). The gender distribution highlights significantly more female deaths in the summer months and the heat wave period.</w:t>
            </w:r>
          </w:p>
        </w:tc>
      </w:tr>
      <w:tr w:rsidR="006C4F12" w14:paraId="4D94410D" w14:textId="77777777">
        <w:tc>
          <w:tcPr>
            <w:tcW w:w="1815" w:type="dxa"/>
            <w:shd w:val="clear" w:color="auto" w:fill="CFE2F3"/>
            <w:tcMar>
              <w:top w:w="100" w:type="dxa"/>
              <w:left w:w="100" w:type="dxa"/>
              <w:bottom w:w="100" w:type="dxa"/>
              <w:right w:w="100" w:type="dxa"/>
            </w:tcMar>
            <w:vAlign w:val="center"/>
          </w:tcPr>
          <w:p w14:paraId="013CA000" w14:textId="77777777" w:rsidR="006C4F12" w:rsidRDefault="00827A53">
            <w:pPr>
              <w:widowControl w:val="0"/>
              <w:spacing w:line="240" w:lineRule="auto"/>
              <w:jc w:val="center"/>
              <w:rPr>
                <w:sz w:val="18"/>
                <w:szCs w:val="18"/>
              </w:rPr>
            </w:pPr>
            <w:r>
              <w:rPr>
                <w:sz w:val="18"/>
                <w:szCs w:val="18"/>
              </w:rPr>
              <w:t xml:space="preserve">Temperature and mortality on the </w:t>
            </w:r>
            <w:r>
              <w:rPr>
                <w:sz w:val="18"/>
                <w:szCs w:val="18"/>
              </w:rPr>
              <w:t>roof of the world: A time-series analysis in three Tibetan counties, China</w:t>
            </w:r>
          </w:p>
        </w:tc>
        <w:tc>
          <w:tcPr>
            <w:tcW w:w="930" w:type="dxa"/>
            <w:shd w:val="clear" w:color="auto" w:fill="CFE2F3"/>
            <w:tcMar>
              <w:top w:w="100" w:type="dxa"/>
              <w:left w:w="100" w:type="dxa"/>
              <w:bottom w:w="100" w:type="dxa"/>
              <w:right w:w="100" w:type="dxa"/>
            </w:tcMar>
            <w:vAlign w:val="center"/>
          </w:tcPr>
          <w:p w14:paraId="0DD2CB16" w14:textId="77777777" w:rsidR="006C4F12" w:rsidRDefault="00827A53">
            <w:pPr>
              <w:widowControl w:val="0"/>
              <w:spacing w:line="240" w:lineRule="auto"/>
              <w:jc w:val="center"/>
              <w:rPr>
                <w:sz w:val="18"/>
                <w:szCs w:val="18"/>
              </w:rPr>
            </w:pPr>
            <w:r>
              <w:rPr>
                <w:sz w:val="18"/>
                <w:szCs w:val="18"/>
              </w:rPr>
              <w:t>Bai et al.</w:t>
            </w:r>
          </w:p>
        </w:tc>
        <w:tc>
          <w:tcPr>
            <w:tcW w:w="1050" w:type="dxa"/>
            <w:shd w:val="clear" w:color="auto" w:fill="CFE2F3"/>
            <w:tcMar>
              <w:top w:w="100" w:type="dxa"/>
              <w:left w:w="100" w:type="dxa"/>
              <w:bottom w:w="100" w:type="dxa"/>
              <w:right w:w="100" w:type="dxa"/>
            </w:tcMar>
            <w:vAlign w:val="center"/>
          </w:tcPr>
          <w:p w14:paraId="6AC5CF7A" w14:textId="77777777" w:rsidR="006C4F12" w:rsidRDefault="00827A53">
            <w:pPr>
              <w:widowControl w:val="0"/>
              <w:spacing w:line="240" w:lineRule="auto"/>
              <w:jc w:val="center"/>
              <w:rPr>
                <w:sz w:val="18"/>
                <w:szCs w:val="18"/>
              </w:rPr>
            </w:pPr>
            <w:r>
              <w:rPr>
                <w:sz w:val="18"/>
                <w:szCs w:val="18"/>
              </w:rPr>
              <w:t>67</w:t>
            </w:r>
          </w:p>
        </w:tc>
        <w:tc>
          <w:tcPr>
            <w:tcW w:w="1515" w:type="dxa"/>
            <w:shd w:val="clear" w:color="auto" w:fill="CFE2F3"/>
            <w:tcMar>
              <w:top w:w="100" w:type="dxa"/>
              <w:left w:w="100" w:type="dxa"/>
              <w:bottom w:w="100" w:type="dxa"/>
              <w:right w:w="100" w:type="dxa"/>
            </w:tcMar>
            <w:vAlign w:val="center"/>
          </w:tcPr>
          <w:p w14:paraId="41B56169" w14:textId="77777777" w:rsidR="006C4F12" w:rsidRDefault="00827A53">
            <w:pPr>
              <w:widowControl w:val="0"/>
              <w:spacing w:line="240" w:lineRule="auto"/>
              <w:jc w:val="center"/>
              <w:rPr>
                <w:sz w:val="18"/>
                <w:szCs w:val="18"/>
              </w:rPr>
            </w:pPr>
            <w:r>
              <w:rPr>
                <w:sz w:val="18"/>
                <w:szCs w:val="18"/>
              </w:rPr>
              <w:t>Science of The Total Environment</w:t>
            </w:r>
          </w:p>
        </w:tc>
        <w:tc>
          <w:tcPr>
            <w:tcW w:w="1065" w:type="dxa"/>
            <w:shd w:val="clear" w:color="auto" w:fill="CFE2F3"/>
            <w:tcMar>
              <w:top w:w="100" w:type="dxa"/>
              <w:left w:w="100" w:type="dxa"/>
              <w:bottom w:w="100" w:type="dxa"/>
              <w:right w:w="100" w:type="dxa"/>
            </w:tcMar>
            <w:vAlign w:val="center"/>
          </w:tcPr>
          <w:p w14:paraId="6666D262" w14:textId="77777777" w:rsidR="006C4F12" w:rsidRDefault="00827A53">
            <w:pPr>
              <w:widowControl w:val="0"/>
              <w:spacing w:line="240" w:lineRule="auto"/>
              <w:jc w:val="center"/>
              <w:rPr>
                <w:sz w:val="18"/>
                <w:szCs w:val="18"/>
              </w:rPr>
            </w:pPr>
            <w:r>
              <w:rPr>
                <w:sz w:val="18"/>
                <w:szCs w:val="18"/>
              </w:rPr>
              <w:t>2014</w:t>
            </w:r>
          </w:p>
        </w:tc>
        <w:tc>
          <w:tcPr>
            <w:tcW w:w="705" w:type="dxa"/>
            <w:shd w:val="clear" w:color="auto" w:fill="CFE2F3"/>
            <w:tcMar>
              <w:top w:w="100" w:type="dxa"/>
              <w:left w:w="100" w:type="dxa"/>
              <w:bottom w:w="100" w:type="dxa"/>
              <w:right w:w="100" w:type="dxa"/>
            </w:tcMar>
            <w:vAlign w:val="center"/>
          </w:tcPr>
          <w:p w14:paraId="11A1E042" w14:textId="77777777" w:rsidR="006C4F12" w:rsidRDefault="00827A53">
            <w:pPr>
              <w:widowControl w:val="0"/>
              <w:spacing w:line="240" w:lineRule="auto"/>
              <w:jc w:val="center"/>
              <w:rPr>
                <w:sz w:val="18"/>
                <w:szCs w:val="18"/>
              </w:rPr>
            </w:pPr>
            <w:r>
              <w:rPr>
                <w:sz w:val="18"/>
                <w:szCs w:val="18"/>
              </w:rPr>
              <w:t>2008 - 2012</w:t>
            </w:r>
          </w:p>
        </w:tc>
        <w:tc>
          <w:tcPr>
            <w:tcW w:w="1260" w:type="dxa"/>
            <w:shd w:val="clear" w:color="auto" w:fill="CFE2F3"/>
            <w:tcMar>
              <w:top w:w="100" w:type="dxa"/>
              <w:left w:w="100" w:type="dxa"/>
              <w:bottom w:w="100" w:type="dxa"/>
              <w:right w:w="100" w:type="dxa"/>
            </w:tcMar>
            <w:vAlign w:val="center"/>
          </w:tcPr>
          <w:p w14:paraId="0A24F19D" w14:textId="77777777" w:rsidR="006C4F12" w:rsidRDefault="00827A53">
            <w:pPr>
              <w:widowControl w:val="0"/>
              <w:spacing w:line="240" w:lineRule="auto"/>
              <w:jc w:val="center"/>
              <w:rPr>
                <w:sz w:val="18"/>
                <w:szCs w:val="18"/>
              </w:rPr>
            </w:pPr>
            <w:r>
              <w:rPr>
                <w:sz w:val="18"/>
                <w:szCs w:val="18"/>
              </w:rPr>
              <w:t>Tibet, China</w:t>
            </w:r>
          </w:p>
        </w:tc>
        <w:tc>
          <w:tcPr>
            <w:tcW w:w="1110" w:type="dxa"/>
            <w:shd w:val="clear" w:color="auto" w:fill="CFE2F3"/>
            <w:tcMar>
              <w:top w:w="100" w:type="dxa"/>
              <w:left w:w="100" w:type="dxa"/>
              <w:bottom w:w="100" w:type="dxa"/>
              <w:right w:w="100" w:type="dxa"/>
            </w:tcMar>
            <w:vAlign w:val="center"/>
          </w:tcPr>
          <w:p w14:paraId="4655B8E6" w14:textId="77777777" w:rsidR="006C4F12" w:rsidRDefault="00827A53">
            <w:pPr>
              <w:widowControl w:val="0"/>
              <w:spacing w:line="240" w:lineRule="auto"/>
              <w:jc w:val="center"/>
              <w:rPr>
                <w:sz w:val="18"/>
                <w:szCs w:val="18"/>
              </w:rPr>
            </w:pPr>
            <w:r>
              <w:rPr>
                <w:sz w:val="18"/>
                <w:szCs w:val="18"/>
              </w:rPr>
              <w:t>Daily data</w:t>
            </w:r>
          </w:p>
        </w:tc>
        <w:tc>
          <w:tcPr>
            <w:tcW w:w="5115" w:type="dxa"/>
            <w:shd w:val="clear" w:color="auto" w:fill="CFE2F3"/>
            <w:tcMar>
              <w:top w:w="100" w:type="dxa"/>
              <w:left w:w="100" w:type="dxa"/>
              <w:bottom w:w="100" w:type="dxa"/>
              <w:right w:w="100" w:type="dxa"/>
            </w:tcMar>
            <w:vAlign w:val="center"/>
          </w:tcPr>
          <w:p w14:paraId="61A3377A" w14:textId="77777777" w:rsidR="006C4F12" w:rsidRPr="00477625" w:rsidRDefault="00827A53">
            <w:pPr>
              <w:widowControl w:val="0"/>
              <w:spacing w:line="240" w:lineRule="auto"/>
              <w:jc w:val="center"/>
              <w:rPr>
                <w:sz w:val="18"/>
                <w:szCs w:val="18"/>
              </w:rPr>
            </w:pPr>
            <w:r w:rsidRPr="00477625">
              <w:rPr>
                <w:rFonts w:eastAsia="Arial Unicode MS"/>
                <w:sz w:val="18"/>
                <w:szCs w:val="18"/>
              </w:rPr>
              <w:t xml:space="preserve"> 5610 cases of non-accidental deaths are considered in the study. There are 60.3% male data in </w:t>
            </w:r>
            <w:proofErr w:type="spellStart"/>
            <w:r w:rsidRPr="00477625">
              <w:rPr>
                <w:rFonts w:eastAsia="Arial Unicode MS"/>
                <w:sz w:val="18"/>
                <w:szCs w:val="18"/>
              </w:rPr>
              <w:t>Chengguan</w:t>
            </w:r>
            <w:proofErr w:type="spellEnd"/>
            <w:r w:rsidRPr="00477625">
              <w:rPr>
                <w:rFonts w:eastAsia="Arial Unicode MS"/>
                <w:sz w:val="18"/>
                <w:szCs w:val="18"/>
              </w:rPr>
              <w:t xml:space="preserve">, 57.1% male data in </w:t>
            </w:r>
            <w:proofErr w:type="spellStart"/>
            <w:r w:rsidRPr="00477625">
              <w:rPr>
                <w:rFonts w:eastAsia="Arial Unicode MS"/>
                <w:sz w:val="18"/>
                <w:szCs w:val="18"/>
              </w:rPr>
              <w:t>Naidong</w:t>
            </w:r>
            <w:proofErr w:type="spellEnd"/>
            <w:r w:rsidRPr="00477625">
              <w:rPr>
                <w:rFonts w:eastAsia="Arial Unicode MS"/>
                <w:sz w:val="18"/>
                <w:szCs w:val="18"/>
              </w:rPr>
              <w:t xml:space="preserve">, and 50.9% male data in </w:t>
            </w:r>
            <w:proofErr w:type="spellStart"/>
            <w:r w:rsidRPr="00477625">
              <w:rPr>
                <w:rFonts w:eastAsia="Arial Unicode MS"/>
                <w:sz w:val="18"/>
                <w:szCs w:val="18"/>
              </w:rPr>
              <w:t>Jiangzi</w:t>
            </w:r>
            <w:proofErr w:type="spellEnd"/>
            <w:r w:rsidRPr="00477625">
              <w:rPr>
                <w:rFonts w:eastAsia="Arial Unicode MS"/>
                <w:sz w:val="18"/>
                <w:szCs w:val="18"/>
              </w:rPr>
              <w:t xml:space="preserve">. Males, elders (≥ 65 years), illiterate persons and those with cardiovascular illness tend to be at higher risks of dying from extreme temperatures. </w:t>
            </w:r>
          </w:p>
        </w:tc>
      </w:tr>
      <w:tr w:rsidR="006C4F12" w14:paraId="399175C0" w14:textId="77777777">
        <w:tc>
          <w:tcPr>
            <w:tcW w:w="1815" w:type="dxa"/>
            <w:shd w:val="clear" w:color="auto" w:fill="CFE2F3"/>
            <w:tcMar>
              <w:top w:w="100" w:type="dxa"/>
              <w:left w:w="100" w:type="dxa"/>
              <w:bottom w:w="100" w:type="dxa"/>
              <w:right w:w="100" w:type="dxa"/>
            </w:tcMar>
            <w:vAlign w:val="center"/>
          </w:tcPr>
          <w:p w14:paraId="4B90619E" w14:textId="77777777" w:rsidR="006C4F12" w:rsidRDefault="00827A53">
            <w:pPr>
              <w:widowControl w:val="0"/>
              <w:spacing w:line="240" w:lineRule="auto"/>
              <w:jc w:val="center"/>
              <w:rPr>
                <w:sz w:val="18"/>
                <w:szCs w:val="18"/>
              </w:rPr>
            </w:pPr>
            <w:r>
              <w:rPr>
                <w:sz w:val="18"/>
                <w:szCs w:val="18"/>
              </w:rPr>
              <w:t>An analysis of heat effects in different subpopulations of Bangladesh</w:t>
            </w:r>
          </w:p>
        </w:tc>
        <w:tc>
          <w:tcPr>
            <w:tcW w:w="930" w:type="dxa"/>
            <w:shd w:val="clear" w:color="auto" w:fill="CFE2F3"/>
            <w:tcMar>
              <w:top w:w="100" w:type="dxa"/>
              <w:left w:w="100" w:type="dxa"/>
              <w:bottom w:w="100" w:type="dxa"/>
              <w:right w:w="100" w:type="dxa"/>
            </w:tcMar>
            <w:vAlign w:val="center"/>
          </w:tcPr>
          <w:p w14:paraId="7CFDD8B1" w14:textId="77777777" w:rsidR="006C4F12" w:rsidRDefault="00827A53">
            <w:pPr>
              <w:widowControl w:val="0"/>
              <w:spacing w:line="240" w:lineRule="auto"/>
              <w:jc w:val="center"/>
              <w:rPr>
                <w:sz w:val="18"/>
                <w:szCs w:val="18"/>
              </w:rPr>
            </w:pPr>
            <w:r>
              <w:rPr>
                <w:sz w:val="18"/>
                <w:szCs w:val="18"/>
              </w:rPr>
              <w:t>Burkart et al.</w:t>
            </w:r>
          </w:p>
        </w:tc>
        <w:tc>
          <w:tcPr>
            <w:tcW w:w="1050" w:type="dxa"/>
            <w:shd w:val="clear" w:color="auto" w:fill="CFE2F3"/>
            <w:tcMar>
              <w:top w:w="100" w:type="dxa"/>
              <w:left w:w="100" w:type="dxa"/>
              <w:bottom w:w="100" w:type="dxa"/>
              <w:right w:w="100" w:type="dxa"/>
            </w:tcMar>
            <w:vAlign w:val="center"/>
          </w:tcPr>
          <w:p w14:paraId="316EE687" w14:textId="77777777" w:rsidR="006C4F12" w:rsidRDefault="00827A53">
            <w:pPr>
              <w:widowControl w:val="0"/>
              <w:spacing w:line="240" w:lineRule="auto"/>
              <w:jc w:val="center"/>
              <w:rPr>
                <w:sz w:val="18"/>
                <w:szCs w:val="18"/>
              </w:rPr>
            </w:pPr>
            <w:r>
              <w:rPr>
                <w:sz w:val="18"/>
                <w:szCs w:val="18"/>
              </w:rPr>
              <w:t>65</w:t>
            </w:r>
          </w:p>
        </w:tc>
        <w:tc>
          <w:tcPr>
            <w:tcW w:w="1515" w:type="dxa"/>
            <w:shd w:val="clear" w:color="auto" w:fill="CFE2F3"/>
            <w:tcMar>
              <w:top w:w="100" w:type="dxa"/>
              <w:left w:w="100" w:type="dxa"/>
              <w:bottom w:w="100" w:type="dxa"/>
              <w:right w:w="100" w:type="dxa"/>
            </w:tcMar>
            <w:vAlign w:val="center"/>
          </w:tcPr>
          <w:p w14:paraId="068E9600" w14:textId="77777777" w:rsidR="006C4F12" w:rsidRDefault="00827A53">
            <w:pPr>
              <w:widowControl w:val="0"/>
              <w:spacing w:line="240" w:lineRule="auto"/>
              <w:jc w:val="center"/>
              <w:rPr>
                <w:sz w:val="18"/>
                <w:szCs w:val="18"/>
              </w:rPr>
            </w:pPr>
            <w:r>
              <w:rPr>
                <w:sz w:val="18"/>
                <w:szCs w:val="18"/>
              </w:rPr>
              <w:t>International Journal of Biometeorology</w:t>
            </w:r>
          </w:p>
        </w:tc>
        <w:tc>
          <w:tcPr>
            <w:tcW w:w="1065" w:type="dxa"/>
            <w:shd w:val="clear" w:color="auto" w:fill="CFE2F3"/>
            <w:tcMar>
              <w:top w:w="100" w:type="dxa"/>
              <w:left w:w="100" w:type="dxa"/>
              <w:bottom w:w="100" w:type="dxa"/>
              <w:right w:w="100" w:type="dxa"/>
            </w:tcMar>
            <w:vAlign w:val="center"/>
          </w:tcPr>
          <w:p w14:paraId="271D2005" w14:textId="77777777" w:rsidR="006C4F12" w:rsidRDefault="00827A53">
            <w:pPr>
              <w:widowControl w:val="0"/>
              <w:spacing w:line="240" w:lineRule="auto"/>
              <w:jc w:val="center"/>
              <w:rPr>
                <w:sz w:val="18"/>
                <w:szCs w:val="18"/>
              </w:rPr>
            </w:pPr>
            <w:r>
              <w:rPr>
                <w:sz w:val="18"/>
                <w:szCs w:val="18"/>
              </w:rPr>
              <w:t>2014</w:t>
            </w:r>
          </w:p>
        </w:tc>
        <w:tc>
          <w:tcPr>
            <w:tcW w:w="705" w:type="dxa"/>
            <w:shd w:val="clear" w:color="auto" w:fill="CFE2F3"/>
            <w:tcMar>
              <w:top w:w="100" w:type="dxa"/>
              <w:left w:w="100" w:type="dxa"/>
              <w:bottom w:w="100" w:type="dxa"/>
              <w:right w:w="100" w:type="dxa"/>
            </w:tcMar>
            <w:vAlign w:val="center"/>
          </w:tcPr>
          <w:p w14:paraId="23622521" w14:textId="77777777" w:rsidR="006C4F12" w:rsidRDefault="00827A53">
            <w:pPr>
              <w:widowControl w:val="0"/>
              <w:spacing w:line="240" w:lineRule="auto"/>
              <w:jc w:val="center"/>
              <w:rPr>
                <w:sz w:val="18"/>
                <w:szCs w:val="18"/>
              </w:rPr>
            </w:pPr>
            <w:r>
              <w:rPr>
                <w:sz w:val="18"/>
                <w:szCs w:val="18"/>
              </w:rPr>
              <w:t>Not Specified</w:t>
            </w:r>
          </w:p>
        </w:tc>
        <w:tc>
          <w:tcPr>
            <w:tcW w:w="1260" w:type="dxa"/>
            <w:shd w:val="clear" w:color="auto" w:fill="CFE2F3"/>
            <w:tcMar>
              <w:top w:w="100" w:type="dxa"/>
              <w:left w:w="100" w:type="dxa"/>
              <w:bottom w:w="100" w:type="dxa"/>
              <w:right w:w="100" w:type="dxa"/>
            </w:tcMar>
            <w:vAlign w:val="center"/>
          </w:tcPr>
          <w:p w14:paraId="07371724" w14:textId="77777777" w:rsidR="006C4F12" w:rsidRDefault="00827A53">
            <w:pPr>
              <w:widowControl w:val="0"/>
              <w:spacing w:line="240" w:lineRule="auto"/>
              <w:jc w:val="center"/>
              <w:rPr>
                <w:sz w:val="18"/>
                <w:szCs w:val="18"/>
              </w:rPr>
            </w:pPr>
            <w:r>
              <w:rPr>
                <w:sz w:val="18"/>
                <w:szCs w:val="18"/>
              </w:rPr>
              <w:t>Bangladesh</w:t>
            </w:r>
          </w:p>
        </w:tc>
        <w:tc>
          <w:tcPr>
            <w:tcW w:w="1110" w:type="dxa"/>
            <w:shd w:val="clear" w:color="auto" w:fill="CFE2F3"/>
            <w:tcMar>
              <w:top w:w="100" w:type="dxa"/>
              <w:left w:w="100" w:type="dxa"/>
              <w:bottom w:w="100" w:type="dxa"/>
              <w:right w:w="100" w:type="dxa"/>
            </w:tcMar>
            <w:vAlign w:val="center"/>
          </w:tcPr>
          <w:p w14:paraId="677F83BC" w14:textId="77777777" w:rsidR="006C4F12" w:rsidRDefault="00827A53">
            <w:pPr>
              <w:widowControl w:val="0"/>
              <w:spacing w:line="240" w:lineRule="auto"/>
              <w:jc w:val="center"/>
              <w:rPr>
                <w:sz w:val="18"/>
                <w:szCs w:val="18"/>
              </w:rPr>
            </w:pPr>
            <w:r>
              <w:rPr>
                <w:sz w:val="18"/>
                <w:szCs w:val="18"/>
              </w:rPr>
              <w:t>Daily data</w:t>
            </w:r>
          </w:p>
        </w:tc>
        <w:tc>
          <w:tcPr>
            <w:tcW w:w="5115" w:type="dxa"/>
            <w:shd w:val="clear" w:color="auto" w:fill="CFE2F3"/>
            <w:tcMar>
              <w:top w:w="100" w:type="dxa"/>
              <w:left w:w="100" w:type="dxa"/>
              <w:bottom w:w="100" w:type="dxa"/>
              <w:right w:w="100" w:type="dxa"/>
            </w:tcMar>
            <w:vAlign w:val="center"/>
          </w:tcPr>
          <w:p w14:paraId="21EDC453" w14:textId="77777777" w:rsidR="006C4F12" w:rsidRDefault="00827A53">
            <w:pPr>
              <w:widowControl w:val="0"/>
              <w:spacing w:line="240" w:lineRule="auto"/>
              <w:jc w:val="center"/>
              <w:rPr>
                <w:sz w:val="18"/>
                <w:szCs w:val="18"/>
              </w:rPr>
            </w:pPr>
            <w:r>
              <w:rPr>
                <w:sz w:val="18"/>
                <w:szCs w:val="18"/>
              </w:rPr>
              <w:t xml:space="preserve">In total, 22,840 </w:t>
            </w:r>
            <w:r>
              <w:rPr>
                <w:sz w:val="18"/>
                <w:szCs w:val="18"/>
              </w:rPr>
              <w:t>deaths were analyzed. 13091 deaths were male (57.34%) and 9743 deaths were female (42.66%). For the elderly (above 65 years), men face higher heat-related mortality. An increase in all-cause mortality was observed for men, which was estimated as 45.9 % (95%CI: 39.7–59.0). Heat effects for women were smaller, with an increase of 24.3 % (95%CI: 16.9–38.8 %) above the threshold temperature.</w:t>
            </w:r>
          </w:p>
        </w:tc>
      </w:tr>
      <w:tr w:rsidR="006C4F12" w14:paraId="53548023" w14:textId="77777777">
        <w:tc>
          <w:tcPr>
            <w:tcW w:w="1815" w:type="dxa"/>
            <w:shd w:val="clear" w:color="auto" w:fill="CFE2F3"/>
            <w:tcMar>
              <w:top w:w="100" w:type="dxa"/>
              <w:left w:w="100" w:type="dxa"/>
              <w:bottom w:w="100" w:type="dxa"/>
              <w:right w:w="100" w:type="dxa"/>
            </w:tcMar>
            <w:vAlign w:val="center"/>
          </w:tcPr>
          <w:p w14:paraId="1C5F192C" w14:textId="77777777" w:rsidR="006C4F12" w:rsidRDefault="00827A53">
            <w:pPr>
              <w:widowControl w:val="0"/>
              <w:spacing w:line="240" w:lineRule="auto"/>
              <w:jc w:val="center"/>
              <w:rPr>
                <w:sz w:val="18"/>
                <w:szCs w:val="18"/>
              </w:rPr>
            </w:pPr>
            <w:r>
              <w:rPr>
                <w:sz w:val="18"/>
                <w:szCs w:val="18"/>
              </w:rPr>
              <w:lastRenderedPageBreak/>
              <w:t xml:space="preserve">Impact of Heat and Cold on Total and Cause-Specific Mortality in </w:t>
            </w:r>
            <w:proofErr w:type="spellStart"/>
            <w:r>
              <w:rPr>
                <w:sz w:val="18"/>
                <w:szCs w:val="18"/>
              </w:rPr>
              <w:t>Vadu</w:t>
            </w:r>
            <w:proofErr w:type="spellEnd"/>
            <w:r>
              <w:rPr>
                <w:sz w:val="18"/>
                <w:szCs w:val="18"/>
              </w:rPr>
              <w:t xml:space="preserve"> HDSS—A Rural Setting in Western India</w:t>
            </w:r>
          </w:p>
        </w:tc>
        <w:tc>
          <w:tcPr>
            <w:tcW w:w="930" w:type="dxa"/>
            <w:shd w:val="clear" w:color="auto" w:fill="CFE2F3"/>
            <w:tcMar>
              <w:top w:w="100" w:type="dxa"/>
              <w:left w:w="100" w:type="dxa"/>
              <w:bottom w:w="100" w:type="dxa"/>
              <w:right w:w="100" w:type="dxa"/>
            </w:tcMar>
            <w:vAlign w:val="center"/>
          </w:tcPr>
          <w:p w14:paraId="07557F56" w14:textId="77777777" w:rsidR="006C4F12" w:rsidRDefault="00827A53">
            <w:pPr>
              <w:widowControl w:val="0"/>
              <w:spacing w:line="240" w:lineRule="auto"/>
              <w:jc w:val="center"/>
              <w:rPr>
                <w:sz w:val="18"/>
                <w:szCs w:val="18"/>
              </w:rPr>
            </w:pPr>
            <w:r>
              <w:rPr>
                <w:sz w:val="18"/>
                <w:szCs w:val="18"/>
              </w:rPr>
              <w:t>Ingole et al.</w:t>
            </w:r>
          </w:p>
        </w:tc>
        <w:tc>
          <w:tcPr>
            <w:tcW w:w="1050" w:type="dxa"/>
            <w:shd w:val="clear" w:color="auto" w:fill="CFE2F3"/>
            <w:tcMar>
              <w:top w:w="100" w:type="dxa"/>
              <w:left w:w="100" w:type="dxa"/>
              <w:bottom w:w="100" w:type="dxa"/>
              <w:right w:w="100" w:type="dxa"/>
            </w:tcMar>
            <w:vAlign w:val="center"/>
          </w:tcPr>
          <w:p w14:paraId="7602AB41" w14:textId="77777777" w:rsidR="006C4F12" w:rsidRDefault="00827A53">
            <w:pPr>
              <w:widowControl w:val="0"/>
              <w:spacing w:line="240" w:lineRule="auto"/>
              <w:jc w:val="center"/>
              <w:rPr>
                <w:sz w:val="18"/>
                <w:szCs w:val="18"/>
              </w:rPr>
            </w:pPr>
            <w:r>
              <w:rPr>
                <w:sz w:val="18"/>
                <w:szCs w:val="18"/>
              </w:rPr>
              <w:t>31</w:t>
            </w:r>
          </w:p>
        </w:tc>
        <w:tc>
          <w:tcPr>
            <w:tcW w:w="1515" w:type="dxa"/>
            <w:shd w:val="clear" w:color="auto" w:fill="CFE2F3"/>
            <w:tcMar>
              <w:top w:w="100" w:type="dxa"/>
              <w:left w:w="100" w:type="dxa"/>
              <w:bottom w:w="100" w:type="dxa"/>
              <w:right w:w="100" w:type="dxa"/>
            </w:tcMar>
            <w:vAlign w:val="center"/>
          </w:tcPr>
          <w:p w14:paraId="5F70D279" w14:textId="77777777" w:rsidR="006C4F12" w:rsidRDefault="00827A53">
            <w:pPr>
              <w:widowControl w:val="0"/>
              <w:spacing w:line="240" w:lineRule="auto"/>
              <w:jc w:val="center"/>
              <w:rPr>
                <w:sz w:val="18"/>
                <w:szCs w:val="18"/>
              </w:rPr>
            </w:pPr>
            <w:r>
              <w:rPr>
                <w:sz w:val="18"/>
                <w:szCs w:val="18"/>
              </w:rPr>
              <w:t>International Journal of Environmental Research and Public Health</w:t>
            </w:r>
          </w:p>
        </w:tc>
        <w:tc>
          <w:tcPr>
            <w:tcW w:w="1065" w:type="dxa"/>
            <w:shd w:val="clear" w:color="auto" w:fill="CFE2F3"/>
            <w:tcMar>
              <w:top w:w="100" w:type="dxa"/>
              <w:left w:w="100" w:type="dxa"/>
              <w:bottom w:w="100" w:type="dxa"/>
              <w:right w:w="100" w:type="dxa"/>
            </w:tcMar>
            <w:vAlign w:val="center"/>
          </w:tcPr>
          <w:p w14:paraId="06476186" w14:textId="77777777" w:rsidR="006C4F12" w:rsidRDefault="00827A53">
            <w:pPr>
              <w:widowControl w:val="0"/>
              <w:spacing w:line="240" w:lineRule="auto"/>
              <w:jc w:val="center"/>
              <w:rPr>
                <w:sz w:val="18"/>
                <w:szCs w:val="18"/>
              </w:rPr>
            </w:pPr>
            <w:r>
              <w:rPr>
                <w:sz w:val="18"/>
                <w:szCs w:val="18"/>
              </w:rPr>
              <w:t>2015</w:t>
            </w:r>
          </w:p>
        </w:tc>
        <w:tc>
          <w:tcPr>
            <w:tcW w:w="705" w:type="dxa"/>
            <w:shd w:val="clear" w:color="auto" w:fill="CFE2F3"/>
            <w:tcMar>
              <w:top w:w="100" w:type="dxa"/>
              <w:left w:w="100" w:type="dxa"/>
              <w:bottom w:w="100" w:type="dxa"/>
              <w:right w:w="100" w:type="dxa"/>
            </w:tcMar>
            <w:vAlign w:val="center"/>
          </w:tcPr>
          <w:p w14:paraId="7B7504ED" w14:textId="77777777" w:rsidR="006C4F12" w:rsidRDefault="00827A53">
            <w:pPr>
              <w:widowControl w:val="0"/>
              <w:spacing w:line="240" w:lineRule="auto"/>
              <w:jc w:val="center"/>
              <w:rPr>
                <w:sz w:val="18"/>
                <w:szCs w:val="18"/>
              </w:rPr>
            </w:pPr>
            <w:r>
              <w:rPr>
                <w:sz w:val="18"/>
                <w:szCs w:val="18"/>
              </w:rPr>
              <w:t>2003 - 2012</w:t>
            </w:r>
          </w:p>
        </w:tc>
        <w:tc>
          <w:tcPr>
            <w:tcW w:w="1260" w:type="dxa"/>
            <w:shd w:val="clear" w:color="auto" w:fill="CFE2F3"/>
            <w:tcMar>
              <w:top w:w="100" w:type="dxa"/>
              <w:left w:w="100" w:type="dxa"/>
              <w:bottom w:w="100" w:type="dxa"/>
              <w:right w:w="100" w:type="dxa"/>
            </w:tcMar>
            <w:vAlign w:val="center"/>
          </w:tcPr>
          <w:p w14:paraId="534B0197" w14:textId="77777777" w:rsidR="006C4F12" w:rsidRDefault="00827A53">
            <w:pPr>
              <w:widowControl w:val="0"/>
              <w:spacing w:line="240" w:lineRule="auto"/>
              <w:jc w:val="center"/>
              <w:rPr>
                <w:sz w:val="18"/>
                <w:szCs w:val="18"/>
              </w:rPr>
            </w:pPr>
            <w:r>
              <w:rPr>
                <w:sz w:val="18"/>
                <w:szCs w:val="18"/>
              </w:rPr>
              <w:t>Pune, India</w:t>
            </w:r>
          </w:p>
        </w:tc>
        <w:tc>
          <w:tcPr>
            <w:tcW w:w="1110" w:type="dxa"/>
            <w:shd w:val="clear" w:color="auto" w:fill="CFE2F3"/>
            <w:tcMar>
              <w:top w:w="100" w:type="dxa"/>
              <w:left w:w="100" w:type="dxa"/>
              <w:bottom w:w="100" w:type="dxa"/>
              <w:right w:w="100" w:type="dxa"/>
            </w:tcMar>
            <w:vAlign w:val="center"/>
          </w:tcPr>
          <w:p w14:paraId="7F88E3AE" w14:textId="77777777" w:rsidR="006C4F12" w:rsidRDefault="00827A53">
            <w:pPr>
              <w:widowControl w:val="0"/>
              <w:spacing w:line="240" w:lineRule="auto"/>
              <w:jc w:val="center"/>
              <w:rPr>
                <w:sz w:val="18"/>
                <w:szCs w:val="18"/>
              </w:rPr>
            </w:pPr>
            <w:r>
              <w:rPr>
                <w:sz w:val="18"/>
                <w:szCs w:val="18"/>
              </w:rPr>
              <w:t>Daily data</w:t>
            </w:r>
          </w:p>
        </w:tc>
        <w:tc>
          <w:tcPr>
            <w:tcW w:w="5115" w:type="dxa"/>
            <w:shd w:val="clear" w:color="auto" w:fill="CFE2F3"/>
            <w:tcMar>
              <w:top w:w="100" w:type="dxa"/>
              <w:left w:w="100" w:type="dxa"/>
              <w:bottom w:w="100" w:type="dxa"/>
              <w:right w:w="100" w:type="dxa"/>
            </w:tcMar>
            <w:vAlign w:val="center"/>
          </w:tcPr>
          <w:p w14:paraId="419384A5" w14:textId="77777777" w:rsidR="006C4F12" w:rsidRDefault="00827A53">
            <w:pPr>
              <w:widowControl w:val="0"/>
              <w:spacing w:line="240" w:lineRule="auto"/>
              <w:jc w:val="center"/>
              <w:rPr>
                <w:sz w:val="18"/>
                <w:szCs w:val="18"/>
              </w:rPr>
            </w:pPr>
            <w:r>
              <w:rPr>
                <w:sz w:val="18"/>
                <w:szCs w:val="18"/>
              </w:rPr>
              <w:t>2302 deaths were analyzed, summary statistics for gender is not provided. There was less evidence for an effect of heat days on total mortality among women and elderly in this population. Relative risks among men and age group 12–59 years were higher than in women and elderly, and statistically significant. We did not find any association of cold days and mortality by cause of death, sex and age group.</w:t>
            </w:r>
          </w:p>
        </w:tc>
      </w:tr>
      <w:tr w:rsidR="006C4F12" w14:paraId="4E070D3A" w14:textId="77777777">
        <w:tc>
          <w:tcPr>
            <w:tcW w:w="1815" w:type="dxa"/>
            <w:shd w:val="clear" w:color="auto" w:fill="CCCCCC"/>
            <w:tcMar>
              <w:top w:w="100" w:type="dxa"/>
              <w:left w:w="100" w:type="dxa"/>
              <w:bottom w:w="100" w:type="dxa"/>
              <w:right w:w="100" w:type="dxa"/>
            </w:tcMar>
            <w:vAlign w:val="center"/>
          </w:tcPr>
          <w:p w14:paraId="6BC4A284" w14:textId="77777777" w:rsidR="006C4F12" w:rsidRDefault="00827A53">
            <w:pPr>
              <w:widowControl w:val="0"/>
              <w:spacing w:line="240" w:lineRule="auto"/>
              <w:jc w:val="center"/>
              <w:rPr>
                <w:sz w:val="18"/>
                <w:szCs w:val="18"/>
              </w:rPr>
            </w:pPr>
            <w:r>
              <w:rPr>
                <w:sz w:val="18"/>
                <w:szCs w:val="18"/>
              </w:rPr>
              <w:t>Characterizing the Impact of Extreme Heat on Mortality, Karachi, Pakistan, June 2015</w:t>
            </w:r>
          </w:p>
        </w:tc>
        <w:tc>
          <w:tcPr>
            <w:tcW w:w="930" w:type="dxa"/>
            <w:shd w:val="clear" w:color="auto" w:fill="CCCCCC"/>
            <w:tcMar>
              <w:top w:w="100" w:type="dxa"/>
              <w:left w:w="100" w:type="dxa"/>
              <w:bottom w:w="100" w:type="dxa"/>
              <w:right w:w="100" w:type="dxa"/>
            </w:tcMar>
            <w:vAlign w:val="center"/>
          </w:tcPr>
          <w:p w14:paraId="719BA00E" w14:textId="77777777" w:rsidR="006C4F12" w:rsidRDefault="00827A53">
            <w:pPr>
              <w:widowControl w:val="0"/>
              <w:spacing w:line="240" w:lineRule="auto"/>
              <w:jc w:val="center"/>
              <w:rPr>
                <w:sz w:val="18"/>
                <w:szCs w:val="18"/>
              </w:rPr>
            </w:pPr>
            <w:r>
              <w:rPr>
                <w:sz w:val="18"/>
                <w:szCs w:val="18"/>
              </w:rPr>
              <w:t xml:space="preserve">Ghumman and </w:t>
            </w:r>
            <w:r>
              <w:rPr>
                <w:sz w:val="18"/>
                <w:szCs w:val="18"/>
              </w:rPr>
              <w:t>Horney</w:t>
            </w:r>
          </w:p>
        </w:tc>
        <w:tc>
          <w:tcPr>
            <w:tcW w:w="1050" w:type="dxa"/>
            <w:shd w:val="clear" w:color="auto" w:fill="CCCCCC"/>
            <w:tcMar>
              <w:top w:w="100" w:type="dxa"/>
              <w:left w:w="100" w:type="dxa"/>
              <w:bottom w:w="100" w:type="dxa"/>
              <w:right w:w="100" w:type="dxa"/>
            </w:tcMar>
            <w:vAlign w:val="center"/>
          </w:tcPr>
          <w:p w14:paraId="7A582DE5" w14:textId="77777777" w:rsidR="006C4F12" w:rsidRDefault="00827A53">
            <w:pPr>
              <w:widowControl w:val="0"/>
              <w:spacing w:line="240" w:lineRule="auto"/>
              <w:jc w:val="center"/>
              <w:rPr>
                <w:sz w:val="18"/>
                <w:szCs w:val="18"/>
              </w:rPr>
            </w:pPr>
            <w:r>
              <w:rPr>
                <w:sz w:val="18"/>
                <w:szCs w:val="18"/>
              </w:rPr>
              <w:t>46</w:t>
            </w:r>
          </w:p>
        </w:tc>
        <w:tc>
          <w:tcPr>
            <w:tcW w:w="1515" w:type="dxa"/>
            <w:shd w:val="clear" w:color="auto" w:fill="CCCCCC"/>
            <w:tcMar>
              <w:top w:w="100" w:type="dxa"/>
              <w:left w:w="100" w:type="dxa"/>
              <w:bottom w:w="100" w:type="dxa"/>
              <w:right w:w="100" w:type="dxa"/>
            </w:tcMar>
            <w:vAlign w:val="center"/>
          </w:tcPr>
          <w:p w14:paraId="23E5B14A" w14:textId="77777777" w:rsidR="006C4F12" w:rsidRDefault="00827A53">
            <w:pPr>
              <w:widowControl w:val="0"/>
              <w:spacing w:line="240" w:lineRule="auto"/>
              <w:jc w:val="center"/>
              <w:rPr>
                <w:sz w:val="18"/>
                <w:szCs w:val="18"/>
              </w:rPr>
            </w:pPr>
            <w:r>
              <w:rPr>
                <w:sz w:val="18"/>
                <w:szCs w:val="18"/>
              </w:rPr>
              <w:t>Prehospital and Disaster Medicine</w:t>
            </w:r>
          </w:p>
        </w:tc>
        <w:tc>
          <w:tcPr>
            <w:tcW w:w="1065" w:type="dxa"/>
            <w:shd w:val="clear" w:color="auto" w:fill="CCCCCC"/>
            <w:tcMar>
              <w:top w:w="100" w:type="dxa"/>
              <w:left w:w="100" w:type="dxa"/>
              <w:bottom w:w="100" w:type="dxa"/>
              <w:right w:w="100" w:type="dxa"/>
            </w:tcMar>
            <w:vAlign w:val="center"/>
          </w:tcPr>
          <w:p w14:paraId="3DCF2A8A" w14:textId="77777777" w:rsidR="006C4F12" w:rsidRDefault="00827A53">
            <w:pPr>
              <w:widowControl w:val="0"/>
              <w:spacing w:line="240" w:lineRule="auto"/>
              <w:jc w:val="center"/>
              <w:rPr>
                <w:sz w:val="18"/>
                <w:szCs w:val="18"/>
              </w:rPr>
            </w:pPr>
            <w:r>
              <w:rPr>
                <w:sz w:val="18"/>
                <w:szCs w:val="18"/>
              </w:rPr>
              <w:t>2016</w:t>
            </w:r>
          </w:p>
        </w:tc>
        <w:tc>
          <w:tcPr>
            <w:tcW w:w="705" w:type="dxa"/>
            <w:shd w:val="clear" w:color="auto" w:fill="CCCCCC"/>
            <w:tcMar>
              <w:top w:w="100" w:type="dxa"/>
              <w:left w:w="100" w:type="dxa"/>
              <w:bottom w:w="100" w:type="dxa"/>
              <w:right w:w="100" w:type="dxa"/>
            </w:tcMar>
            <w:vAlign w:val="center"/>
          </w:tcPr>
          <w:p w14:paraId="4F9FD4FC" w14:textId="77777777" w:rsidR="006C4F12" w:rsidRDefault="00827A53">
            <w:pPr>
              <w:widowControl w:val="0"/>
              <w:spacing w:line="240" w:lineRule="auto"/>
              <w:jc w:val="center"/>
              <w:rPr>
                <w:sz w:val="18"/>
                <w:szCs w:val="18"/>
              </w:rPr>
            </w:pPr>
            <w:r>
              <w:rPr>
                <w:sz w:val="18"/>
                <w:szCs w:val="18"/>
              </w:rPr>
              <w:t>2015</w:t>
            </w:r>
          </w:p>
        </w:tc>
        <w:tc>
          <w:tcPr>
            <w:tcW w:w="1260" w:type="dxa"/>
            <w:shd w:val="clear" w:color="auto" w:fill="CCCCCC"/>
            <w:tcMar>
              <w:top w:w="100" w:type="dxa"/>
              <w:left w:w="100" w:type="dxa"/>
              <w:bottom w:w="100" w:type="dxa"/>
              <w:right w:w="100" w:type="dxa"/>
            </w:tcMar>
            <w:vAlign w:val="center"/>
          </w:tcPr>
          <w:p w14:paraId="41BAB41E" w14:textId="77777777" w:rsidR="006C4F12" w:rsidRDefault="00827A53">
            <w:pPr>
              <w:widowControl w:val="0"/>
              <w:spacing w:line="240" w:lineRule="auto"/>
              <w:jc w:val="center"/>
              <w:rPr>
                <w:sz w:val="18"/>
                <w:szCs w:val="18"/>
              </w:rPr>
            </w:pPr>
            <w:r>
              <w:rPr>
                <w:sz w:val="18"/>
                <w:szCs w:val="18"/>
              </w:rPr>
              <w:t>Karachi, Pakistan</w:t>
            </w:r>
          </w:p>
        </w:tc>
        <w:tc>
          <w:tcPr>
            <w:tcW w:w="1110" w:type="dxa"/>
            <w:shd w:val="clear" w:color="auto" w:fill="CCCCCC"/>
            <w:tcMar>
              <w:top w:w="100" w:type="dxa"/>
              <w:left w:w="100" w:type="dxa"/>
              <w:bottom w:w="100" w:type="dxa"/>
              <w:right w:w="100" w:type="dxa"/>
            </w:tcMar>
            <w:vAlign w:val="center"/>
          </w:tcPr>
          <w:p w14:paraId="329CC44E" w14:textId="77777777" w:rsidR="006C4F12" w:rsidRDefault="00827A53">
            <w:pPr>
              <w:widowControl w:val="0"/>
              <w:spacing w:line="240" w:lineRule="auto"/>
              <w:jc w:val="center"/>
              <w:rPr>
                <w:sz w:val="18"/>
                <w:szCs w:val="18"/>
              </w:rPr>
            </w:pPr>
            <w:r>
              <w:rPr>
                <w:sz w:val="18"/>
                <w:szCs w:val="18"/>
              </w:rPr>
              <w:t>Daily data</w:t>
            </w:r>
          </w:p>
        </w:tc>
        <w:tc>
          <w:tcPr>
            <w:tcW w:w="5115" w:type="dxa"/>
            <w:shd w:val="clear" w:color="auto" w:fill="CCCCCC"/>
            <w:tcMar>
              <w:top w:w="100" w:type="dxa"/>
              <w:left w:w="100" w:type="dxa"/>
              <w:bottom w:w="100" w:type="dxa"/>
              <w:right w:w="100" w:type="dxa"/>
            </w:tcMar>
            <w:vAlign w:val="center"/>
          </w:tcPr>
          <w:p w14:paraId="4323C345" w14:textId="77777777" w:rsidR="006C4F12" w:rsidRDefault="00827A53">
            <w:pPr>
              <w:widowControl w:val="0"/>
              <w:spacing w:line="240" w:lineRule="auto"/>
              <w:jc w:val="center"/>
              <w:rPr>
                <w:sz w:val="18"/>
                <w:szCs w:val="18"/>
              </w:rPr>
            </w:pPr>
            <w:r>
              <w:rPr>
                <w:sz w:val="18"/>
                <w:szCs w:val="18"/>
              </w:rPr>
              <w:t xml:space="preserve">Mortality data for the reference period have 69 deaths, 48 males (69.57%) and 21 females (39.43%). The mortality data of the heatwave periods include 1220 deaths, where </w:t>
            </w:r>
            <w:r>
              <w:rPr>
                <w:sz w:val="18"/>
                <w:szCs w:val="18"/>
              </w:rPr>
              <w:t>838 are male (68.69%) and 382 are female (31.31%). Gender is not a significant risk factor for heat-related mortality in the study period compared to the reference period.</w:t>
            </w:r>
          </w:p>
        </w:tc>
      </w:tr>
      <w:tr w:rsidR="006C4F12" w14:paraId="7304706D" w14:textId="77777777">
        <w:tc>
          <w:tcPr>
            <w:tcW w:w="1815" w:type="dxa"/>
            <w:shd w:val="clear" w:color="auto" w:fill="F4CCCC"/>
            <w:tcMar>
              <w:top w:w="100" w:type="dxa"/>
              <w:left w:w="100" w:type="dxa"/>
              <w:bottom w:w="100" w:type="dxa"/>
              <w:right w:w="100" w:type="dxa"/>
            </w:tcMar>
            <w:vAlign w:val="center"/>
          </w:tcPr>
          <w:p w14:paraId="7F9337C4" w14:textId="77777777" w:rsidR="006C4F12" w:rsidRDefault="00827A53">
            <w:pPr>
              <w:widowControl w:val="0"/>
              <w:spacing w:line="240" w:lineRule="auto"/>
              <w:jc w:val="center"/>
              <w:rPr>
                <w:sz w:val="18"/>
                <w:szCs w:val="18"/>
              </w:rPr>
            </w:pPr>
            <w:r>
              <w:rPr>
                <w:sz w:val="18"/>
                <w:szCs w:val="18"/>
              </w:rPr>
              <w:t xml:space="preserve">Socioenvironmental factors associated with heat and cold-related mortality in </w:t>
            </w:r>
            <w:proofErr w:type="spellStart"/>
            <w:r>
              <w:rPr>
                <w:sz w:val="18"/>
                <w:szCs w:val="18"/>
              </w:rPr>
              <w:t>Vadu</w:t>
            </w:r>
            <w:proofErr w:type="spellEnd"/>
            <w:r>
              <w:rPr>
                <w:sz w:val="18"/>
                <w:szCs w:val="18"/>
              </w:rPr>
              <w:t xml:space="preserve"> HDSS, western India: a population-based case-crossover study</w:t>
            </w:r>
          </w:p>
        </w:tc>
        <w:tc>
          <w:tcPr>
            <w:tcW w:w="930" w:type="dxa"/>
            <w:shd w:val="clear" w:color="auto" w:fill="F4CCCC"/>
            <w:tcMar>
              <w:top w:w="100" w:type="dxa"/>
              <w:left w:w="100" w:type="dxa"/>
              <w:bottom w:w="100" w:type="dxa"/>
              <w:right w:w="100" w:type="dxa"/>
            </w:tcMar>
            <w:vAlign w:val="center"/>
          </w:tcPr>
          <w:p w14:paraId="4DCF6844" w14:textId="77777777" w:rsidR="006C4F12" w:rsidRDefault="00827A53">
            <w:pPr>
              <w:widowControl w:val="0"/>
              <w:spacing w:line="240" w:lineRule="auto"/>
              <w:jc w:val="center"/>
              <w:rPr>
                <w:sz w:val="18"/>
                <w:szCs w:val="18"/>
              </w:rPr>
            </w:pPr>
            <w:r>
              <w:rPr>
                <w:sz w:val="18"/>
                <w:szCs w:val="18"/>
              </w:rPr>
              <w:t>Ingole et al.</w:t>
            </w:r>
          </w:p>
        </w:tc>
        <w:tc>
          <w:tcPr>
            <w:tcW w:w="1050" w:type="dxa"/>
            <w:shd w:val="clear" w:color="auto" w:fill="F4CCCC"/>
            <w:tcMar>
              <w:top w:w="100" w:type="dxa"/>
              <w:left w:w="100" w:type="dxa"/>
              <w:bottom w:w="100" w:type="dxa"/>
              <w:right w:w="100" w:type="dxa"/>
            </w:tcMar>
            <w:vAlign w:val="center"/>
          </w:tcPr>
          <w:p w14:paraId="28DFE188" w14:textId="77777777" w:rsidR="006C4F12" w:rsidRDefault="00827A53">
            <w:pPr>
              <w:widowControl w:val="0"/>
              <w:spacing w:line="240" w:lineRule="auto"/>
              <w:jc w:val="center"/>
              <w:rPr>
                <w:sz w:val="18"/>
                <w:szCs w:val="18"/>
              </w:rPr>
            </w:pPr>
            <w:r>
              <w:rPr>
                <w:sz w:val="18"/>
                <w:szCs w:val="18"/>
              </w:rPr>
              <w:t>43</w:t>
            </w:r>
          </w:p>
        </w:tc>
        <w:tc>
          <w:tcPr>
            <w:tcW w:w="1515" w:type="dxa"/>
            <w:shd w:val="clear" w:color="auto" w:fill="F4CCCC"/>
            <w:tcMar>
              <w:top w:w="100" w:type="dxa"/>
              <w:left w:w="100" w:type="dxa"/>
              <w:bottom w:w="100" w:type="dxa"/>
              <w:right w:w="100" w:type="dxa"/>
            </w:tcMar>
            <w:vAlign w:val="center"/>
          </w:tcPr>
          <w:p w14:paraId="2FDBD64E" w14:textId="77777777" w:rsidR="006C4F12" w:rsidRDefault="00827A53">
            <w:pPr>
              <w:widowControl w:val="0"/>
              <w:spacing w:line="240" w:lineRule="auto"/>
              <w:jc w:val="center"/>
              <w:rPr>
                <w:sz w:val="18"/>
                <w:szCs w:val="18"/>
              </w:rPr>
            </w:pPr>
            <w:r>
              <w:rPr>
                <w:sz w:val="18"/>
                <w:szCs w:val="18"/>
              </w:rPr>
              <w:t>International Journal of Biometeorology</w:t>
            </w:r>
          </w:p>
        </w:tc>
        <w:tc>
          <w:tcPr>
            <w:tcW w:w="1065" w:type="dxa"/>
            <w:shd w:val="clear" w:color="auto" w:fill="F4CCCC"/>
            <w:tcMar>
              <w:top w:w="100" w:type="dxa"/>
              <w:left w:w="100" w:type="dxa"/>
              <w:bottom w:w="100" w:type="dxa"/>
              <w:right w:w="100" w:type="dxa"/>
            </w:tcMar>
            <w:vAlign w:val="center"/>
          </w:tcPr>
          <w:p w14:paraId="1FB93525" w14:textId="77777777" w:rsidR="006C4F12" w:rsidRDefault="00827A53">
            <w:pPr>
              <w:widowControl w:val="0"/>
              <w:spacing w:line="240" w:lineRule="auto"/>
              <w:jc w:val="center"/>
              <w:rPr>
                <w:sz w:val="18"/>
                <w:szCs w:val="18"/>
              </w:rPr>
            </w:pPr>
            <w:r>
              <w:rPr>
                <w:sz w:val="18"/>
                <w:szCs w:val="18"/>
              </w:rPr>
              <w:t>2017</w:t>
            </w:r>
          </w:p>
        </w:tc>
        <w:tc>
          <w:tcPr>
            <w:tcW w:w="705" w:type="dxa"/>
            <w:shd w:val="clear" w:color="auto" w:fill="F4CCCC"/>
            <w:tcMar>
              <w:top w:w="100" w:type="dxa"/>
              <w:left w:w="100" w:type="dxa"/>
              <w:bottom w:w="100" w:type="dxa"/>
              <w:right w:w="100" w:type="dxa"/>
            </w:tcMar>
            <w:vAlign w:val="center"/>
          </w:tcPr>
          <w:p w14:paraId="1F3898DF" w14:textId="77777777" w:rsidR="006C4F12" w:rsidRDefault="00827A53">
            <w:pPr>
              <w:widowControl w:val="0"/>
              <w:spacing w:line="240" w:lineRule="auto"/>
              <w:jc w:val="center"/>
              <w:rPr>
                <w:sz w:val="18"/>
                <w:szCs w:val="18"/>
              </w:rPr>
            </w:pPr>
            <w:r>
              <w:rPr>
                <w:sz w:val="18"/>
                <w:szCs w:val="18"/>
              </w:rPr>
              <w:t xml:space="preserve">2004 - 2013 </w:t>
            </w:r>
          </w:p>
        </w:tc>
        <w:tc>
          <w:tcPr>
            <w:tcW w:w="1260" w:type="dxa"/>
            <w:shd w:val="clear" w:color="auto" w:fill="F4CCCC"/>
            <w:tcMar>
              <w:top w:w="100" w:type="dxa"/>
              <w:left w:w="100" w:type="dxa"/>
              <w:bottom w:w="100" w:type="dxa"/>
              <w:right w:w="100" w:type="dxa"/>
            </w:tcMar>
            <w:vAlign w:val="center"/>
          </w:tcPr>
          <w:p w14:paraId="594D60FA" w14:textId="77777777" w:rsidR="006C4F12" w:rsidRDefault="00827A53">
            <w:pPr>
              <w:widowControl w:val="0"/>
              <w:spacing w:line="240" w:lineRule="auto"/>
              <w:jc w:val="center"/>
              <w:rPr>
                <w:sz w:val="18"/>
                <w:szCs w:val="18"/>
              </w:rPr>
            </w:pPr>
            <w:r>
              <w:rPr>
                <w:sz w:val="18"/>
                <w:szCs w:val="18"/>
              </w:rPr>
              <w:t>Pune, India</w:t>
            </w:r>
          </w:p>
        </w:tc>
        <w:tc>
          <w:tcPr>
            <w:tcW w:w="1110" w:type="dxa"/>
            <w:shd w:val="clear" w:color="auto" w:fill="F4CCCC"/>
            <w:tcMar>
              <w:top w:w="100" w:type="dxa"/>
              <w:left w:w="100" w:type="dxa"/>
              <w:bottom w:w="100" w:type="dxa"/>
              <w:right w:w="100" w:type="dxa"/>
            </w:tcMar>
            <w:vAlign w:val="center"/>
          </w:tcPr>
          <w:p w14:paraId="088E38FB" w14:textId="152E27BA" w:rsidR="006C4F12" w:rsidRDefault="00477625">
            <w:pPr>
              <w:widowControl w:val="0"/>
              <w:spacing w:line="240" w:lineRule="auto"/>
              <w:jc w:val="center"/>
              <w:rPr>
                <w:sz w:val="18"/>
                <w:szCs w:val="18"/>
              </w:rPr>
            </w:pPr>
            <w:r>
              <w:rPr>
                <w:rFonts w:hint="eastAsia"/>
                <w:sz w:val="18"/>
                <w:szCs w:val="18"/>
                <w:lang w:eastAsia="zh-TW"/>
              </w:rPr>
              <w:t>S</w:t>
            </w:r>
            <w:r>
              <w:rPr>
                <w:sz w:val="18"/>
                <w:szCs w:val="18"/>
              </w:rPr>
              <w:t>urveillance rounds data</w:t>
            </w:r>
          </w:p>
        </w:tc>
        <w:tc>
          <w:tcPr>
            <w:tcW w:w="5115" w:type="dxa"/>
            <w:shd w:val="clear" w:color="auto" w:fill="F4CCCC"/>
            <w:tcMar>
              <w:top w:w="100" w:type="dxa"/>
              <w:left w:w="100" w:type="dxa"/>
              <w:bottom w:w="100" w:type="dxa"/>
              <w:right w:w="100" w:type="dxa"/>
            </w:tcMar>
            <w:vAlign w:val="center"/>
          </w:tcPr>
          <w:p w14:paraId="532CA6B6" w14:textId="77777777" w:rsidR="006C4F12" w:rsidRDefault="00827A53">
            <w:pPr>
              <w:widowControl w:val="0"/>
              <w:spacing w:line="240" w:lineRule="auto"/>
              <w:jc w:val="center"/>
              <w:rPr>
                <w:sz w:val="18"/>
                <w:szCs w:val="18"/>
              </w:rPr>
            </w:pPr>
            <w:r>
              <w:rPr>
                <w:sz w:val="18"/>
                <w:szCs w:val="18"/>
              </w:rPr>
              <w:t>The mortality data consists of 3079 deaths, 1861 deaths were male (60.44%) and 1218 deaths were female (39.56%). Women had a higher risk of heat-related mortality than men (OR 1.91, CI = 1.07–3.47). No differences in heat and cold risks across subgroups were statistically significant.</w:t>
            </w:r>
          </w:p>
        </w:tc>
      </w:tr>
      <w:tr w:rsidR="006C4F12" w14:paraId="50475253" w14:textId="77777777">
        <w:tc>
          <w:tcPr>
            <w:tcW w:w="1815" w:type="dxa"/>
            <w:shd w:val="clear" w:color="auto" w:fill="CFE2F3"/>
            <w:tcMar>
              <w:top w:w="100" w:type="dxa"/>
              <w:left w:w="100" w:type="dxa"/>
              <w:bottom w:w="100" w:type="dxa"/>
              <w:right w:w="100" w:type="dxa"/>
            </w:tcMar>
            <w:vAlign w:val="center"/>
          </w:tcPr>
          <w:p w14:paraId="0C59FD69" w14:textId="77777777" w:rsidR="006C4F12" w:rsidRDefault="00827A53">
            <w:pPr>
              <w:widowControl w:val="0"/>
              <w:spacing w:line="240" w:lineRule="auto"/>
              <w:jc w:val="center"/>
              <w:rPr>
                <w:sz w:val="18"/>
                <w:szCs w:val="18"/>
              </w:rPr>
            </w:pPr>
            <w:r>
              <w:rPr>
                <w:sz w:val="18"/>
                <w:szCs w:val="18"/>
              </w:rPr>
              <w:t>Temperature extremes and infant mortality in Bangladesh: Hotter months, lower mortality</w:t>
            </w:r>
          </w:p>
        </w:tc>
        <w:tc>
          <w:tcPr>
            <w:tcW w:w="930" w:type="dxa"/>
            <w:shd w:val="clear" w:color="auto" w:fill="CFE2F3"/>
            <w:tcMar>
              <w:top w:w="100" w:type="dxa"/>
              <w:left w:w="100" w:type="dxa"/>
              <w:bottom w:w="100" w:type="dxa"/>
              <w:right w:w="100" w:type="dxa"/>
            </w:tcMar>
            <w:vAlign w:val="center"/>
          </w:tcPr>
          <w:p w14:paraId="735B69B3" w14:textId="77777777" w:rsidR="006C4F12" w:rsidRDefault="00827A53">
            <w:pPr>
              <w:widowControl w:val="0"/>
              <w:spacing w:line="240" w:lineRule="auto"/>
              <w:jc w:val="center"/>
              <w:rPr>
                <w:sz w:val="18"/>
                <w:szCs w:val="18"/>
              </w:rPr>
            </w:pPr>
            <w:proofErr w:type="spellStart"/>
            <w:r>
              <w:rPr>
                <w:sz w:val="18"/>
                <w:szCs w:val="18"/>
              </w:rPr>
              <w:t>Bababola</w:t>
            </w:r>
            <w:proofErr w:type="spellEnd"/>
            <w:r>
              <w:rPr>
                <w:sz w:val="18"/>
                <w:szCs w:val="18"/>
              </w:rPr>
              <w:t xml:space="preserve"> et al.</w:t>
            </w:r>
          </w:p>
        </w:tc>
        <w:tc>
          <w:tcPr>
            <w:tcW w:w="1050" w:type="dxa"/>
            <w:shd w:val="clear" w:color="auto" w:fill="CFE2F3"/>
            <w:tcMar>
              <w:top w:w="100" w:type="dxa"/>
              <w:left w:w="100" w:type="dxa"/>
              <w:bottom w:w="100" w:type="dxa"/>
              <w:right w:w="100" w:type="dxa"/>
            </w:tcMar>
            <w:vAlign w:val="center"/>
          </w:tcPr>
          <w:p w14:paraId="14F2FFF3" w14:textId="77777777" w:rsidR="006C4F12" w:rsidRDefault="00827A53">
            <w:pPr>
              <w:widowControl w:val="0"/>
              <w:spacing w:line="240" w:lineRule="auto"/>
              <w:jc w:val="center"/>
              <w:rPr>
                <w:sz w:val="18"/>
                <w:szCs w:val="18"/>
              </w:rPr>
            </w:pPr>
            <w:r>
              <w:rPr>
                <w:sz w:val="18"/>
                <w:szCs w:val="18"/>
              </w:rPr>
              <w:t>22</w:t>
            </w:r>
          </w:p>
        </w:tc>
        <w:tc>
          <w:tcPr>
            <w:tcW w:w="1515" w:type="dxa"/>
            <w:shd w:val="clear" w:color="auto" w:fill="CFE2F3"/>
            <w:tcMar>
              <w:top w:w="100" w:type="dxa"/>
              <w:left w:w="100" w:type="dxa"/>
              <w:bottom w:w="100" w:type="dxa"/>
              <w:right w:w="100" w:type="dxa"/>
            </w:tcMar>
            <w:vAlign w:val="center"/>
          </w:tcPr>
          <w:p w14:paraId="4951D3C9" w14:textId="77777777" w:rsidR="006C4F12" w:rsidRDefault="00827A53">
            <w:pPr>
              <w:widowControl w:val="0"/>
              <w:spacing w:line="240" w:lineRule="auto"/>
              <w:jc w:val="center"/>
              <w:rPr>
                <w:sz w:val="18"/>
                <w:szCs w:val="18"/>
              </w:rPr>
            </w:pPr>
            <w:r>
              <w:rPr>
                <w:sz w:val="18"/>
                <w:szCs w:val="18"/>
              </w:rPr>
              <w:t>PLOS ONE</w:t>
            </w:r>
          </w:p>
        </w:tc>
        <w:tc>
          <w:tcPr>
            <w:tcW w:w="1065" w:type="dxa"/>
            <w:shd w:val="clear" w:color="auto" w:fill="CFE2F3"/>
            <w:tcMar>
              <w:top w:w="100" w:type="dxa"/>
              <w:left w:w="100" w:type="dxa"/>
              <w:bottom w:w="100" w:type="dxa"/>
              <w:right w:w="100" w:type="dxa"/>
            </w:tcMar>
            <w:vAlign w:val="center"/>
          </w:tcPr>
          <w:p w14:paraId="63369CEF" w14:textId="77777777" w:rsidR="006C4F12" w:rsidRDefault="00827A53">
            <w:pPr>
              <w:widowControl w:val="0"/>
              <w:spacing w:line="240" w:lineRule="auto"/>
              <w:jc w:val="center"/>
              <w:rPr>
                <w:sz w:val="18"/>
                <w:szCs w:val="18"/>
              </w:rPr>
            </w:pPr>
            <w:r>
              <w:rPr>
                <w:sz w:val="18"/>
                <w:szCs w:val="18"/>
              </w:rPr>
              <w:t>2018</w:t>
            </w:r>
          </w:p>
        </w:tc>
        <w:tc>
          <w:tcPr>
            <w:tcW w:w="705" w:type="dxa"/>
            <w:shd w:val="clear" w:color="auto" w:fill="CFE2F3"/>
            <w:tcMar>
              <w:top w:w="100" w:type="dxa"/>
              <w:left w:w="100" w:type="dxa"/>
              <w:bottom w:w="100" w:type="dxa"/>
              <w:right w:w="100" w:type="dxa"/>
            </w:tcMar>
            <w:vAlign w:val="center"/>
          </w:tcPr>
          <w:p w14:paraId="412F71A3" w14:textId="77777777" w:rsidR="006C4F12" w:rsidRDefault="00827A53">
            <w:pPr>
              <w:widowControl w:val="0"/>
              <w:spacing w:line="240" w:lineRule="auto"/>
              <w:jc w:val="center"/>
              <w:rPr>
                <w:sz w:val="18"/>
                <w:szCs w:val="18"/>
              </w:rPr>
            </w:pPr>
            <w:r>
              <w:rPr>
                <w:sz w:val="18"/>
                <w:szCs w:val="18"/>
              </w:rPr>
              <w:t>1982 - 2008</w:t>
            </w:r>
          </w:p>
        </w:tc>
        <w:tc>
          <w:tcPr>
            <w:tcW w:w="1260" w:type="dxa"/>
            <w:shd w:val="clear" w:color="auto" w:fill="CFE2F3"/>
            <w:tcMar>
              <w:top w:w="100" w:type="dxa"/>
              <w:left w:w="100" w:type="dxa"/>
              <w:bottom w:w="100" w:type="dxa"/>
              <w:right w:w="100" w:type="dxa"/>
            </w:tcMar>
            <w:vAlign w:val="center"/>
          </w:tcPr>
          <w:p w14:paraId="54275ADF" w14:textId="77777777" w:rsidR="006C4F12" w:rsidRDefault="00827A53">
            <w:pPr>
              <w:widowControl w:val="0"/>
              <w:spacing w:line="240" w:lineRule="auto"/>
              <w:jc w:val="center"/>
              <w:rPr>
                <w:sz w:val="18"/>
                <w:szCs w:val="18"/>
              </w:rPr>
            </w:pPr>
            <w:r>
              <w:rPr>
                <w:sz w:val="18"/>
                <w:szCs w:val="18"/>
              </w:rPr>
              <w:t>Bangladesh</w:t>
            </w:r>
          </w:p>
        </w:tc>
        <w:tc>
          <w:tcPr>
            <w:tcW w:w="1110" w:type="dxa"/>
            <w:shd w:val="clear" w:color="auto" w:fill="CFE2F3"/>
            <w:tcMar>
              <w:top w:w="100" w:type="dxa"/>
              <w:left w:w="100" w:type="dxa"/>
              <w:bottom w:w="100" w:type="dxa"/>
              <w:right w:w="100" w:type="dxa"/>
            </w:tcMar>
            <w:vAlign w:val="center"/>
          </w:tcPr>
          <w:p w14:paraId="04D602FE" w14:textId="77777777" w:rsidR="006C4F12" w:rsidRDefault="00827A53">
            <w:pPr>
              <w:widowControl w:val="0"/>
              <w:spacing w:line="240" w:lineRule="auto"/>
              <w:jc w:val="center"/>
              <w:rPr>
                <w:sz w:val="18"/>
                <w:szCs w:val="18"/>
              </w:rPr>
            </w:pPr>
            <w:r>
              <w:rPr>
                <w:sz w:val="18"/>
                <w:szCs w:val="18"/>
              </w:rPr>
              <w:t>Monthly data</w:t>
            </w:r>
          </w:p>
        </w:tc>
        <w:tc>
          <w:tcPr>
            <w:tcW w:w="5115" w:type="dxa"/>
            <w:shd w:val="clear" w:color="auto" w:fill="CFE2F3"/>
            <w:tcMar>
              <w:top w:w="100" w:type="dxa"/>
              <w:left w:w="100" w:type="dxa"/>
              <w:bottom w:w="100" w:type="dxa"/>
              <w:right w:w="100" w:type="dxa"/>
            </w:tcMar>
            <w:vAlign w:val="center"/>
          </w:tcPr>
          <w:p w14:paraId="213D85EB" w14:textId="77777777" w:rsidR="006C4F12" w:rsidRDefault="00827A53">
            <w:pPr>
              <w:widowControl w:val="0"/>
              <w:spacing w:line="240" w:lineRule="auto"/>
              <w:jc w:val="center"/>
              <w:rPr>
                <w:sz w:val="18"/>
                <w:szCs w:val="18"/>
              </w:rPr>
            </w:pPr>
            <w:r>
              <w:rPr>
                <w:sz w:val="18"/>
                <w:szCs w:val="18"/>
              </w:rPr>
              <w:t xml:space="preserve">There were 49,426 under-five child deaths considered in the study, summary statistics of gender are not provided. Although the coefficient of temperature-induced mortality was larger in boys relative to girls, some of our estimates lacked precision so we cannot assert with confidence that there is a statistically significant difference between boys and girls. </w:t>
            </w:r>
          </w:p>
        </w:tc>
      </w:tr>
      <w:tr w:rsidR="006C4F12" w14:paraId="48146297" w14:textId="77777777">
        <w:tc>
          <w:tcPr>
            <w:tcW w:w="1815" w:type="dxa"/>
            <w:shd w:val="clear" w:color="auto" w:fill="F4CCCC"/>
            <w:tcMar>
              <w:top w:w="100" w:type="dxa"/>
              <w:left w:w="100" w:type="dxa"/>
              <w:bottom w:w="100" w:type="dxa"/>
              <w:right w:w="100" w:type="dxa"/>
            </w:tcMar>
            <w:vAlign w:val="center"/>
          </w:tcPr>
          <w:p w14:paraId="5B2E1EB4" w14:textId="77777777" w:rsidR="006C4F12" w:rsidRDefault="00827A53">
            <w:pPr>
              <w:widowControl w:val="0"/>
              <w:spacing w:line="240" w:lineRule="auto"/>
              <w:jc w:val="center"/>
              <w:rPr>
                <w:sz w:val="18"/>
                <w:szCs w:val="18"/>
              </w:rPr>
            </w:pPr>
            <w:r>
              <w:rPr>
                <w:sz w:val="18"/>
                <w:szCs w:val="18"/>
              </w:rPr>
              <w:t>Attributing mortality from temperature extremes: A time series analysis in Varanasi, India</w:t>
            </w:r>
          </w:p>
        </w:tc>
        <w:tc>
          <w:tcPr>
            <w:tcW w:w="930" w:type="dxa"/>
            <w:shd w:val="clear" w:color="auto" w:fill="F4CCCC"/>
            <w:tcMar>
              <w:top w:w="100" w:type="dxa"/>
              <w:left w:w="100" w:type="dxa"/>
              <w:bottom w:w="100" w:type="dxa"/>
              <w:right w:w="100" w:type="dxa"/>
            </w:tcMar>
            <w:vAlign w:val="center"/>
          </w:tcPr>
          <w:p w14:paraId="135CD674" w14:textId="77777777" w:rsidR="006C4F12" w:rsidRDefault="00827A53">
            <w:pPr>
              <w:widowControl w:val="0"/>
              <w:spacing w:line="240" w:lineRule="auto"/>
              <w:jc w:val="center"/>
              <w:rPr>
                <w:sz w:val="18"/>
                <w:szCs w:val="18"/>
              </w:rPr>
            </w:pPr>
            <w:r>
              <w:rPr>
                <w:sz w:val="18"/>
                <w:szCs w:val="18"/>
              </w:rPr>
              <w:t>Singh et al.</w:t>
            </w:r>
          </w:p>
        </w:tc>
        <w:tc>
          <w:tcPr>
            <w:tcW w:w="1050" w:type="dxa"/>
            <w:shd w:val="clear" w:color="auto" w:fill="F4CCCC"/>
            <w:tcMar>
              <w:top w:w="100" w:type="dxa"/>
              <w:left w:w="100" w:type="dxa"/>
              <w:bottom w:w="100" w:type="dxa"/>
              <w:right w:w="100" w:type="dxa"/>
            </w:tcMar>
            <w:vAlign w:val="center"/>
          </w:tcPr>
          <w:p w14:paraId="6B9BEBAA" w14:textId="77777777" w:rsidR="006C4F12" w:rsidRDefault="00827A53">
            <w:pPr>
              <w:widowControl w:val="0"/>
              <w:spacing w:line="240" w:lineRule="auto"/>
              <w:jc w:val="center"/>
              <w:rPr>
                <w:sz w:val="18"/>
                <w:szCs w:val="18"/>
              </w:rPr>
            </w:pPr>
            <w:r>
              <w:rPr>
                <w:sz w:val="18"/>
                <w:szCs w:val="18"/>
              </w:rPr>
              <w:t>56</w:t>
            </w:r>
          </w:p>
        </w:tc>
        <w:tc>
          <w:tcPr>
            <w:tcW w:w="1515" w:type="dxa"/>
            <w:shd w:val="clear" w:color="auto" w:fill="F4CCCC"/>
            <w:tcMar>
              <w:top w:w="100" w:type="dxa"/>
              <w:left w:w="100" w:type="dxa"/>
              <w:bottom w:w="100" w:type="dxa"/>
              <w:right w:w="100" w:type="dxa"/>
            </w:tcMar>
            <w:vAlign w:val="center"/>
          </w:tcPr>
          <w:p w14:paraId="57ACDC8E" w14:textId="77777777" w:rsidR="006C4F12" w:rsidRDefault="00827A53">
            <w:pPr>
              <w:widowControl w:val="0"/>
              <w:spacing w:line="240" w:lineRule="auto"/>
              <w:jc w:val="center"/>
              <w:rPr>
                <w:sz w:val="18"/>
                <w:szCs w:val="18"/>
              </w:rPr>
            </w:pPr>
            <w:r>
              <w:rPr>
                <w:sz w:val="18"/>
                <w:szCs w:val="18"/>
              </w:rPr>
              <w:t xml:space="preserve">Science of The Total </w:t>
            </w:r>
            <w:r>
              <w:rPr>
                <w:sz w:val="18"/>
                <w:szCs w:val="18"/>
              </w:rPr>
              <w:t>Environment</w:t>
            </w:r>
          </w:p>
        </w:tc>
        <w:tc>
          <w:tcPr>
            <w:tcW w:w="1065" w:type="dxa"/>
            <w:shd w:val="clear" w:color="auto" w:fill="F4CCCC"/>
            <w:tcMar>
              <w:top w:w="100" w:type="dxa"/>
              <w:left w:w="100" w:type="dxa"/>
              <w:bottom w:w="100" w:type="dxa"/>
              <w:right w:w="100" w:type="dxa"/>
            </w:tcMar>
            <w:vAlign w:val="center"/>
          </w:tcPr>
          <w:p w14:paraId="1D9620E9" w14:textId="77777777" w:rsidR="006C4F12" w:rsidRDefault="00827A53">
            <w:pPr>
              <w:widowControl w:val="0"/>
              <w:spacing w:line="240" w:lineRule="auto"/>
              <w:jc w:val="center"/>
              <w:rPr>
                <w:sz w:val="18"/>
                <w:szCs w:val="18"/>
              </w:rPr>
            </w:pPr>
            <w:r>
              <w:rPr>
                <w:sz w:val="18"/>
                <w:szCs w:val="18"/>
              </w:rPr>
              <w:t>2019</w:t>
            </w:r>
          </w:p>
        </w:tc>
        <w:tc>
          <w:tcPr>
            <w:tcW w:w="705" w:type="dxa"/>
            <w:shd w:val="clear" w:color="auto" w:fill="F4CCCC"/>
            <w:tcMar>
              <w:top w:w="100" w:type="dxa"/>
              <w:left w:w="100" w:type="dxa"/>
              <w:bottom w:w="100" w:type="dxa"/>
              <w:right w:w="100" w:type="dxa"/>
            </w:tcMar>
            <w:vAlign w:val="center"/>
          </w:tcPr>
          <w:p w14:paraId="23793EA6" w14:textId="77777777" w:rsidR="006C4F12" w:rsidRDefault="00827A53">
            <w:pPr>
              <w:widowControl w:val="0"/>
              <w:spacing w:line="240" w:lineRule="auto"/>
              <w:jc w:val="center"/>
              <w:rPr>
                <w:sz w:val="18"/>
                <w:szCs w:val="18"/>
              </w:rPr>
            </w:pPr>
            <w:r>
              <w:rPr>
                <w:sz w:val="18"/>
                <w:szCs w:val="18"/>
              </w:rPr>
              <w:t>2009-2016</w:t>
            </w:r>
          </w:p>
        </w:tc>
        <w:tc>
          <w:tcPr>
            <w:tcW w:w="1260" w:type="dxa"/>
            <w:shd w:val="clear" w:color="auto" w:fill="F4CCCC"/>
            <w:tcMar>
              <w:top w:w="100" w:type="dxa"/>
              <w:left w:w="100" w:type="dxa"/>
              <w:bottom w:w="100" w:type="dxa"/>
              <w:right w:w="100" w:type="dxa"/>
            </w:tcMar>
            <w:vAlign w:val="center"/>
          </w:tcPr>
          <w:p w14:paraId="7D651C06" w14:textId="77777777" w:rsidR="006C4F12" w:rsidRDefault="00827A53">
            <w:pPr>
              <w:widowControl w:val="0"/>
              <w:spacing w:line="240" w:lineRule="auto"/>
              <w:jc w:val="center"/>
              <w:rPr>
                <w:sz w:val="18"/>
                <w:szCs w:val="18"/>
              </w:rPr>
            </w:pPr>
            <w:r>
              <w:rPr>
                <w:sz w:val="18"/>
                <w:szCs w:val="18"/>
              </w:rPr>
              <w:t>Varanasi, India</w:t>
            </w:r>
          </w:p>
        </w:tc>
        <w:tc>
          <w:tcPr>
            <w:tcW w:w="1110" w:type="dxa"/>
            <w:shd w:val="clear" w:color="auto" w:fill="F4CCCC"/>
            <w:tcMar>
              <w:top w:w="100" w:type="dxa"/>
              <w:left w:w="100" w:type="dxa"/>
              <w:bottom w:w="100" w:type="dxa"/>
              <w:right w:w="100" w:type="dxa"/>
            </w:tcMar>
            <w:vAlign w:val="center"/>
          </w:tcPr>
          <w:p w14:paraId="2AF11B73" w14:textId="77777777" w:rsidR="006C4F12" w:rsidRDefault="00827A53">
            <w:pPr>
              <w:widowControl w:val="0"/>
              <w:spacing w:line="240" w:lineRule="auto"/>
              <w:jc w:val="center"/>
              <w:rPr>
                <w:sz w:val="18"/>
                <w:szCs w:val="18"/>
              </w:rPr>
            </w:pPr>
            <w:r>
              <w:rPr>
                <w:sz w:val="18"/>
                <w:szCs w:val="18"/>
              </w:rPr>
              <w:t>Daily data</w:t>
            </w:r>
          </w:p>
        </w:tc>
        <w:tc>
          <w:tcPr>
            <w:tcW w:w="5115" w:type="dxa"/>
            <w:shd w:val="clear" w:color="auto" w:fill="F4CCCC"/>
            <w:tcMar>
              <w:top w:w="100" w:type="dxa"/>
              <w:left w:w="100" w:type="dxa"/>
              <w:bottom w:w="100" w:type="dxa"/>
              <w:right w:w="100" w:type="dxa"/>
            </w:tcMar>
            <w:vAlign w:val="center"/>
          </w:tcPr>
          <w:p w14:paraId="7EB6DB9F" w14:textId="77777777" w:rsidR="006C4F12" w:rsidRDefault="00827A53">
            <w:pPr>
              <w:widowControl w:val="0"/>
              <w:spacing w:line="240" w:lineRule="auto"/>
              <w:jc w:val="center"/>
              <w:rPr>
                <w:sz w:val="18"/>
                <w:szCs w:val="18"/>
              </w:rPr>
            </w:pPr>
            <w:r>
              <w:rPr>
                <w:sz w:val="18"/>
                <w:szCs w:val="18"/>
              </w:rPr>
              <w:t>64712 deaths are considered in the study, 38640 are male (59.71%) and 26072 are female (40.29%). For cold spells, there was no significant difference in the RR between genders. However, for heat waves, the RR for males (RR 1.09, 95% CI: 0.99–1.20) was much smaller than for females (RR 1.22, 95% CI: 1.09–1.37).</w:t>
            </w:r>
          </w:p>
        </w:tc>
      </w:tr>
    </w:tbl>
    <w:p w14:paraId="5117100C" w14:textId="77777777" w:rsidR="006C4F12" w:rsidRDefault="006C4F12"/>
    <w:p w14:paraId="7CCF8A5A" w14:textId="2609E113" w:rsidR="006C4F12" w:rsidRDefault="00827A53">
      <w:pPr>
        <w:spacing w:line="240" w:lineRule="auto"/>
        <w:jc w:val="both"/>
        <w:rPr>
          <w:b/>
        </w:rPr>
        <w:sectPr w:rsidR="006C4F12" w:rsidSect="002D2004">
          <w:pgSz w:w="15840" w:h="12240" w:orient="landscape"/>
          <w:pgMar w:top="1440" w:right="1440" w:bottom="1440" w:left="1440" w:header="720" w:footer="720" w:gutter="0"/>
          <w:pgNumType w:start="1"/>
          <w:cols w:space="720"/>
        </w:sectPr>
      </w:pPr>
      <w:r>
        <w:rPr>
          <w:b/>
          <w:sz w:val="20"/>
          <w:szCs w:val="20"/>
        </w:rPr>
        <w:t xml:space="preserve">Table S.2 Selected studies of temperature-related mortality focused on the Global South. Studies with gender-stratified models are selected from </w:t>
      </w:r>
      <w:hyperlink r:id="rId5">
        <w:proofErr w:type="spellStart"/>
        <w:r>
          <w:rPr>
            <w:b/>
            <w:sz w:val="20"/>
            <w:szCs w:val="20"/>
          </w:rPr>
          <w:t>Benmarhnia</w:t>
        </w:r>
        <w:proofErr w:type="spellEnd"/>
        <w:r>
          <w:rPr>
            <w:b/>
            <w:sz w:val="20"/>
            <w:szCs w:val="20"/>
          </w:rPr>
          <w:t xml:space="preserve"> et al. (2015)</w:t>
        </w:r>
      </w:hyperlink>
      <w:r w:rsidR="00715E9D">
        <w:rPr>
          <w:rFonts w:hint="eastAsia"/>
          <w:b/>
          <w:sz w:val="20"/>
          <w:szCs w:val="20"/>
          <w:vertAlign w:val="superscript"/>
          <w:lang w:eastAsia="zh-TW"/>
        </w:rPr>
        <w:t>1</w:t>
      </w:r>
      <w:r>
        <w:rPr>
          <w:b/>
          <w:sz w:val="20"/>
          <w:szCs w:val="20"/>
        </w:rPr>
        <w:t xml:space="preserve"> and </w:t>
      </w:r>
      <w:hyperlink r:id="rId6">
        <w:r>
          <w:rPr>
            <w:b/>
            <w:sz w:val="20"/>
            <w:szCs w:val="20"/>
          </w:rPr>
          <w:t>Dimitrova et al. (2021)</w:t>
        </w:r>
      </w:hyperlink>
      <w:r w:rsidR="00715E9D">
        <w:rPr>
          <w:rFonts w:hint="eastAsia"/>
          <w:b/>
          <w:sz w:val="20"/>
          <w:szCs w:val="20"/>
          <w:vertAlign w:val="superscript"/>
          <w:lang w:eastAsia="zh-TW"/>
        </w:rPr>
        <w:t>2</w:t>
      </w:r>
      <w:r>
        <w:rPr>
          <w:b/>
          <w:sz w:val="20"/>
          <w:szCs w:val="20"/>
        </w:rPr>
        <w:t xml:space="preserve">, resulting in 16 studies. Seven of the 16 studies concluded women are </w:t>
      </w:r>
      <w:r>
        <w:rPr>
          <w:b/>
          <w:sz w:val="20"/>
          <w:szCs w:val="20"/>
        </w:rPr>
        <w:lastRenderedPageBreak/>
        <w:t>at higher risk in extreme temperatures (shaded in pink). Six of the 16 studies reported men being more vulnerable to extreme temperatures (shaded in blue). Three of the 16 studies reported no gender differences (shaded in gray).</w:t>
      </w:r>
    </w:p>
    <w:p w14:paraId="40FB9169" w14:textId="2F5FECA6" w:rsidR="006C4F12" w:rsidRDefault="00EB23DA">
      <w:pPr>
        <w:spacing w:line="240" w:lineRule="auto"/>
        <w:jc w:val="both"/>
        <w:rPr>
          <w:b/>
        </w:rPr>
      </w:pPr>
      <w:r>
        <w:rPr>
          <w:b/>
        </w:rPr>
        <w:lastRenderedPageBreak/>
        <w:t>A.2 Trend of Summer and Winter Monthly Temperatures from 1990 to 2019</w:t>
      </w:r>
    </w:p>
    <w:p w14:paraId="0E064695" w14:textId="77777777" w:rsidR="006C4F12" w:rsidRDefault="006C4F12">
      <w:pPr>
        <w:spacing w:line="240" w:lineRule="auto"/>
        <w:jc w:val="both"/>
        <w:rPr>
          <w:b/>
        </w:rPr>
      </w:pPr>
    </w:p>
    <w:p w14:paraId="21CE8903" w14:textId="77777777" w:rsidR="006C4F12" w:rsidRDefault="00827A53">
      <w:pPr>
        <w:spacing w:line="240" w:lineRule="auto"/>
        <w:jc w:val="both"/>
        <w:rPr>
          <w:b/>
        </w:rPr>
      </w:pPr>
      <w:r>
        <w:rPr>
          <w:b/>
          <w:noProof/>
        </w:rPr>
        <w:drawing>
          <wp:inline distT="114300" distB="114300" distL="114300" distR="114300" wp14:anchorId="0221714A" wp14:editId="5803D39C">
            <wp:extent cx="5486400" cy="3406588"/>
            <wp:effectExtent l="0" t="0" r="0" b="0"/>
            <wp:docPr id="2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
                    <a:srcRect t="8747"/>
                    <a:stretch>
                      <a:fillRect/>
                    </a:stretch>
                  </pic:blipFill>
                  <pic:spPr>
                    <a:xfrm>
                      <a:off x="0" y="0"/>
                      <a:ext cx="5486400" cy="3406588"/>
                    </a:xfrm>
                    <a:prstGeom prst="rect">
                      <a:avLst/>
                    </a:prstGeom>
                    <a:ln/>
                  </pic:spPr>
                </pic:pic>
              </a:graphicData>
            </a:graphic>
          </wp:inline>
        </w:drawing>
      </w:r>
    </w:p>
    <w:p w14:paraId="0B6B0B7D" w14:textId="77777777" w:rsidR="006C4F12" w:rsidRDefault="00827A53">
      <w:pPr>
        <w:numPr>
          <w:ilvl w:val="0"/>
          <w:numId w:val="2"/>
        </w:numPr>
        <w:spacing w:line="240" w:lineRule="auto"/>
        <w:jc w:val="both"/>
        <w:rPr>
          <w:b/>
          <w:sz w:val="20"/>
          <w:szCs w:val="20"/>
        </w:rPr>
      </w:pPr>
      <w:r>
        <w:rPr>
          <w:b/>
          <w:sz w:val="20"/>
          <w:szCs w:val="20"/>
        </w:rPr>
        <w:t>Monthly-averaged daily max temperatures of March, April, May, June, and July</w:t>
      </w:r>
    </w:p>
    <w:p w14:paraId="24A47442" w14:textId="77777777" w:rsidR="006C4F12" w:rsidRDefault="006C4F12">
      <w:pPr>
        <w:spacing w:line="240" w:lineRule="auto"/>
        <w:jc w:val="both"/>
        <w:rPr>
          <w:b/>
        </w:rPr>
      </w:pPr>
    </w:p>
    <w:p w14:paraId="540CC425" w14:textId="77777777" w:rsidR="006C4F12" w:rsidRDefault="00827A53">
      <w:pPr>
        <w:spacing w:line="240" w:lineRule="auto"/>
        <w:jc w:val="both"/>
        <w:rPr>
          <w:b/>
        </w:rPr>
      </w:pPr>
      <w:r>
        <w:rPr>
          <w:b/>
          <w:noProof/>
        </w:rPr>
        <w:drawing>
          <wp:inline distT="114300" distB="114300" distL="114300" distR="114300" wp14:anchorId="25D9FC90" wp14:editId="36BAF894">
            <wp:extent cx="5486400" cy="3370729"/>
            <wp:effectExtent l="0" t="0" r="0" b="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t="9260"/>
                    <a:stretch>
                      <a:fillRect/>
                    </a:stretch>
                  </pic:blipFill>
                  <pic:spPr>
                    <a:xfrm>
                      <a:off x="0" y="0"/>
                      <a:ext cx="5486400" cy="3370729"/>
                    </a:xfrm>
                    <a:prstGeom prst="rect">
                      <a:avLst/>
                    </a:prstGeom>
                    <a:ln/>
                  </pic:spPr>
                </pic:pic>
              </a:graphicData>
            </a:graphic>
          </wp:inline>
        </w:drawing>
      </w:r>
    </w:p>
    <w:p w14:paraId="08CD93D0" w14:textId="77777777" w:rsidR="006C4F12" w:rsidRDefault="00827A53">
      <w:pPr>
        <w:numPr>
          <w:ilvl w:val="0"/>
          <w:numId w:val="2"/>
        </w:numPr>
        <w:spacing w:line="240" w:lineRule="auto"/>
        <w:jc w:val="both"/>
        <w:rPr>
          <w:b/>
          <w:sz w:val="20"/>
          <w:szCs w:val="20"/>
        </w:rPr>
      </w:pPr>
      <w:r>
        <w:rPr>
          <w:b/>
          <w:sz w:val="20"/>
          <w:szCs w:val="20"/>
        </w:rPr>
        <w:t>Monthly-averaged daily mean temperatures of March, April, May, June, and July</w:t>
      </w:r>
    </w:p>
    <w:p w14:paraId="51AC5A45" w14:textId="77777777" w:rsidR="006C4F12" w:rsidRDefault="006C4F12">
      <w:pPr>
        <w:spacing w:line="240" w:lineRule="auto"/>
        <w:ind w:left="720"/>
        <w:jc w:val="both"/>
        <w:rPr>
          <w:b/>
          <w:sz w:val="20"/>
          <w:szCs w:val="20"/>
        </w:rPr>
      </w:pPr>
    </w:p>
    <w:p w14:paraId="5C0FDC63" w14:textId="77777777" w:rsidR="006C4F12" w:rsidRDefault="00827A53">
      <w:pPr>
        <w:spacing w:line="240" w:lineRule="auto"/>
        <w:jc w:val="both"/>
        <w:rPr>
          <w:b/>
          <w:sz w:val="20"/>
          <w:szCs w:val="20"/>
        </w:rPr>
      </w:pPr>
      <w:r>
        <w:rPr>
          <w:b/>
          <w:sz w:val="20"/>
          <w:szCs w:val="20"/>
        </w:rPr>
        <w:t xml:space="preserve">Figure S.1 Time series plot of the monthly-averaged daily max and mean temperature of March, April, May, June, and July from 1990 to 2019. The range of summer months was determined with similar monthly averaged max temperatures.  Panel (a) shows the monthly-averaged daily max </w:t>
      </w:r>
      <w:r>
        <w:rPr>
          <w:b/>
          <w:sz w:val="20"/>
          <w:szCs w:val="20"/>
        </w:rPr>
        <w:lastRenderedPageBreak/>
        <w:t>temperatures; Panel (b) shows the monthly-averaged daily mean temperatures. Temperature units are in Celsius degrees. Data are obtained from IMD via Python package “IMDLIB”.</w:t>
      </w:r>
    </w:p>
    <w:p w14:paraId="67869B34" w14:textId="77777777" w:rsidR="006C4F12" w:rsidRDefault="006C4F12">
      <w:pPr>
        <w:spacing w:line="240" w:lineRule="auto"/>
        <w:jc w:val="both"/>
        <w:rPr>
          <w:b/>
          <w:sz w:val="20"/>
          <w:szCs w:val="20"/>
        </w:rPr>
      </w:pPr>
    </w:p>
    <w:p w14:paraId="31FD008B" w14:textId="77777777" w:rsidR="006C4F12" w:rsidRDefault="00827A53">
      <w:pPr>
        <w:spacing w:line="240" w:lineRule="auto"/>
        <w:jc w:val="both"/>
        <w:rPr>
          <w:b/>
        </w:rPr>
      </w:pPr>
      <w:r>
        <w:rPr>
          <w:b/>
          <w:noProof/>
        </w:rPr>
        <w:drawing>
          <wp:inline distT="114300" distB="114300" distL="114300" distR="114300" wp14:anchorId="3DDF1E8E" wp14:editId="33A410CB">
            <wp:extent cx="5486400" cy="3365231"/>
            <wp:effectExtent l="0" t="0" r="0" b="0"/>
            <wp:docPr id="1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t="9316"/>
                    <a:stretch>
                      <a:fillRect/>
                    </a:stretch>
                  </pic:blipFill>
                  <pic:spPr>
                    <a:xfrm>
                      <a:off x="0" y="0"/>
                      <a:ext cx="5486400" cy="3365231"/>
                    </a:xfrm>
                    <a:prstGeom prst="rect">
                      <a:avLst/>
                    </a:prstGeom>
                    <a:ln/>
                  </pic:spPr>
                </pic:pic>
              </a:graphicData>
            </a:graphic>
          </wp:inline>
        </w:drawing>
      </w:r>
    </w:p>
    <w:p w14:paraId="520AA87D" w14:textId="77777777" w:rsidR="006C4F12" w:rsidRDefault="00827A53">
      <w:pPr>
        <w:numPr>
          <w:ilvl w:val="0"/>
          <w:numId w:val="8"/>
        </w:numPr>
        <w:spacing w:line="240" w:lineRule="auto"/>
        <w:jc w:val="both"/>
        <w:rPr>
          <w:b/>
          <w:sz w:val="20"/>
          <w:szCs w:val="20"/>
        </w:rPr>
      </w:pPr>
      <w:r>
        <w:rPr>
          <w:b/>
          <w:sz w:val="20"/>
          <w:szCs w:val="20"/>
        </w:rPr>
        <w:t>Monthly-averaged daily min temperatures of November, December, January, and February</w:t>
      </w:r>
    </w:p>
    <w:p w14:paraId="7DEEB4FF" w14:textId="77777777" w:rsidR="006C4F12" w:rsidRDefault="006C4F12">
      <w:pPr>
        <w:spacing w:line="240" w:lineRule="auto"/>
        <w:jc w:val="both"/>
        <w:rPr>
          <w:b/>
        </w:rPr>
      </w:pPr>
    </w:p>
    <w:p w14:paraId="49A2A8ED" w14:textId="77777777" w:rsidR="006C4F12" w:rsidRDefault="00827A53">
      <w:pPr>
        <w:spacing w:line="240" w:lineRule="auto"/>
        <w:jc w:val="both"/>
        <w:rPr>
          <w:b/>
        </w:rPr>
      </w:pPr>
      <w:r>
        <w:rPr>
          <w:b/>
          <w:noProof/>
        </w:rPr>
        <w:drawing>
          <wp:inline distT="114300" distB="114300" distL="114300" distR="114300" wp14:anchorId="3825021B" wp14:editId="7ECE8EC9">
            <wp:extent cx="5486400" cy="3379622"/>
            <wp:effectExtent l="0" t="0" r="0" b="0"/>
            <wp:docPr id="1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a:srcRect t="9433"/>
                    <a:stretch>
                      <a:fillRect/>
                    </a:stretch>
                  </pic:blipFill>
                  <pic:spPr>
                    <a:xfrm>
                      <a:off x="0" y="0"/>
                      <a:ext cx="5486400" cy="3379622"/>
                    </a:xfrm>
                    <a:prstGeom prst="rect">
                      <a:avLst/>
                    </a:prstGeom>
                    <a:ln/>
                  </pic:spPr>
                </pic:pic>
              </a:graphicData>
            </a:graphic>
          </wp:inline>
        </w:drawing>
      </w:r>
    </w:p>
    <w:p w14:paraId="0037638B" w14:textId="77777777" w:rsidR="006C4F12" w:rsidRDefault="00827A53">
      <w:pPr>
        <w:numPr>
          <w:ilvl w:val="0"/>
          <w:numId w:val="8"/>
        </w:numPr>
        <w:spacing w:line="240" w:lineRule="auto"/>
        <w:jc w:val="both"/>
        <w:rPr>
          <w:b/>
          <w:sz w:val="20"/>
          <w:szCs w:val="20"/>
        </w:rPr>
      </w:pPr>
      <w:r>
        <w:rPr>
          <w:b/>
          <w:sz w:val="20"/>
          <w:szCs w:val="20"/>
        </w:rPr>
        <w:t>Monthly-averaged daily mean temperatures of November, December, January, and February</w:t>
      </w:r>
    </w:p>
    <w:p w14:paraId="1DB3C9FD" w14:textId="77777777" w:rsidR="0030568A" w:rsidRDefault="0030568A" w:rsidP="0030568A">
      <w:pPr>
        <w:spacing w:line="240" w:lineRule="auto"/>
        <w:ind w:left="720"/>
        <w:jc w:val="both"/>
        <w:rPr>
          <w:b/>
          <w:sz w:val="20"/>
          <w:szCs w:val="20"/>
        </w:rPr>
      </w:pPr>
    </w:p>
    <w:p w14:paraId="67F27DFF" w14:textId="77777777" w:rsidR="006C4F12" w:rsidRDefault="00827A53">
      <w:pPr>
        <w:spacing w:line="240" w:lineRule="auto"/>
        <w:jc w:val="both"/>
        <w:rPr>
          <w:b/>
          <w:sz w:val="20"/>
          <w:szCs w:val="20"/>
        </w:rPr>
      </w:pPr>
      <w:r>
        <w:rPr>
          <w:b/>
          <w:sz w:val="20"/>
          <w:szCs w:val="20"/>
        </w:rPr>
        <w:t xml:space="preserve">Figure S.2 Time series plot of the monthly-averaged daily mean temperature of November, December, January, and February from 1990 to 2019. The range of winter months was determined with similar monthly averaged minimum temperatures. Panel (a) shows the monthly average daily </w:t>
      </w:r>
      <w:r>
        <w:rPr>
          <w:b/>
          <w:sz w:val="20"/>
          <w:szCs w:val="20"/>
        </w:rPr>
        <w:lastRenderedPageBreak/>
        <w:t>minimum temperatures; Panel (b) shows the monthly average daily mean temperatures. Temperature units are in Celsius degrees. Data are obtained from IMD via Python package “IMDLIB”.</w:t>
      </w:r>
    </w:p>
    <w:p w14:paraId="4C921ECC" w14:textId="77777777" w:rsidR="006C4F12" w:rsidRDefault="006C4F12">
      <w:pPr>
        <w:spacing w:line="240" w:lineRule="auto"/>
        <w:jc w:val="both"/>
        <w:rPr>
          <w:b/>
        </w:rPr>
      </w:pPr>
    </w:p>
    <w:p w14:paraId="1CB46655" w14:textId="5BE26079" w:rsidR="006C4F12" w:rsidRDefault="00EB23DA">
      <w:pPr>
        <w:spacing w:line="240" w:lineRule="auto"/>
        <w:jc w:val="both"/>
        <w:rPr>
          <w:b/>
        </w:rPr>
      </w:pPr>
      <w:r>
        <w:rPr>
          <w:b/>
        </w:rPr>
        <w:t>A.3 Autocorrelation Plots of Current Mortality and Temperature Data</w:t>
      </w:r>
    </w:p>
    <w:p w14:paraId="4FC685C6" w14:textId="77777777" w:rsidR="006C4F12" w:rsidRDefault="006C4F12">
      <w:pPr>
        <w:spacing w:line="240" w:lineRule="auto"/>
        <w:jc w:val="both"/>
        <w:rPr>
          <w:b/>
        </w:rPr>
      </w:pPr>
    </w:p>
    <w:p w14:paraId="0E06CDEE" w14:textId="77777777" w:rsidR="006C4F12" w:rsidRDefault="00827A53">
      <w:pPr>
        <w:jc w:val="center"/>
        <w:rPr>
          <w:color w:val="FF0000"/>
        </w:rPr>
      </w:pPr>
      <w:r>
        <w:rPr>
          <w:noProof/>
          <w:color w:val="FF0000"/>
        </w:rPr>
        <w:drawing>
          <wp:inline distT="114300" distB="114300" distL="114300" distR="114300" wp14:anchorId="3CC6C73B" wp14:editId="30D60378">
            <wp:extent cx="5120640" cy="319527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t="7865"/>
                    <a:stretch>
                      <a:fillRect/>
                    </a:stretch>
                  </pic:blipFill>
                  <pic:spPr>
                    <a:xfrm>
                      <a:off x="0" y="0"/>
                      <a:ext cx="5120640" cy="3195279"/>
                    </a:xfrm>
                    <a:prstGeom prst="rect">
                      <a:avLst/>
                    </a:prstGeom>
                    <a:ln/>
                  </pic:spPr>
                </pic:pic>
              </a:graphicData>
            </a:graphic>
          </wp:inline>
        </w:drawing>
      </w:r>
    </w:p>
    <w:p w14:paraId="3616E480" w14:textId="77777777" w:rsidR="006C4F12" w:rsidRDefault="00827A53">
      <w:pPr>
        <w:numPr>
          <w:ilvl w:val="0"/>
          <w:numId w:val="9"/>
        </w:numPr>
        <w:spacing w:line="240" w:lineRule="auto"/>
        <w:ind w:left="1710"/>
        <w:rPr>
          <w:b/>
          <w:sz w:val="20"/>
          <w:szCs w:val="20"/>
        </w:rPr>
      </w:pPr>
      <w:r>
        <w:rPr>
          <w:b/>
          <w:sz w:val="20"/>
          <w:szCs w:val="20"/>
        </w:rPr>
        <w:t>Indian male environmental heat and cold exposure mortality rates</w:t>
      </w:r>
    </w:p>
    <w:p w14:paraId="2748CF74" w14:textId="77777777" w:rsidR="006C4F12" w:rsidRDefault="006C4F12">
      <w:pPr>
        <w:spacing w:line="240" w:lineRule="auto"/>
        <w:jc w:val="both"/>
        <w:rPr>
          <w:b/>
          <w:sz w:val="20"/>
          <w:szCs w:val="20"/>
        </w:rPr>
      </w:pPr>
    </w:p>
    <w:p w14:paraId="2F4B5D86" w14:textId="77777777" w:rsidR="006C4F12" w:rsidRDefault="00827A53">
      <w:pPr>
        <w:jc w:val="center"/>
        <w:rPr>
          <w:color w:val="FF0000"/>
        </w:rPr>
      </w:pPr>
      <w:r>
        <w:rPr>
          <w:noProof/>
          <w:color w:val="FF0000"/>
        </w:rPr>
        <w:drawing>
          <wp:inline distT="114300" distB="114300" distL="114300" distR="114300" wp14:anchorId="1D4FE5B1" wp14:editId="1D2B7BA3">
            <wp:extent cx="5120640" cy="3207138"/>
            <wp:effectExtent l="0" t="0" r="0" b="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t="8168"/>
                    <a:stretch>
                      <a:fillRect/>
                    </a:stretch>
                  </pic:blipFill>
                  <pic:spPr>
                    <a:xfrm>
                      <a:off x="0" y="0"/>
                      <a:ext cx="5120640" cy="3207138"/>
                    </a:xfrm>
                    <a:prstGeom prst="rect">
                      <a:avLst/>
                    </a:prstGeom>
                    <a:ln/>
                  </pic:spPr>
                </pic:pic>
              </a:graphicData>
            </a:graphic>
          </wp:inline>
        </w:drawing>
      </w:r>
    </w:p>
    <w:p w14:paraId="794FA2FC" w14:textId="77777777" w:rsidR="006C4F12" w:rsidRDefault="00827A53">
      <w:pPr>
        <w:numPr>
          <w:ilvl w:val="0"/>
          <w:numId w:val="9"/>
        </w:numPr>
        <w:spacing w:line="240" w:lineRule="auto"/>
        <w:ind w:left="1710"/>
        <w:rPr>
          <w:b/>
          <w:sz w:val="20"/>
          <w:szCs w:val="20"/>
        </w:rPr>
      </w:pPr>
      <w:r>
        <w:rPr>
          <w:b/>
          <w:sz w:val="20"/>
          <w:szCs w:val="20"/>
        </w:rPr>
        <w:t>Indian female environmental heat and cold exposure mortality rates</w:t>
      </w:r>
    </w:p>
    <w:p w14:paraId="7F2C9E6C" w14:textId="77777777" w:rsidR="006C4F12" w:rsidRDefault="006C4F12">
      <w:pPr>
        <w:spacing w:line="240" w:lineRule="auto"/>
        <w:ind w:left="720"/>
        <w:jc w:val="center"/>
        <w:rPr>
          <w:b/>
          <w:sz w:val="20"/>
          <w:szCs w:val="20"/>
        </w:rPr>
      </w:pPr>
    </w:p>
    <w:p w14:paraId="6DC67F41" w14:textId="06152DB9" w:rsidR="006C4F12" w:rsidRDefault="00827A53">
      <w:pPr>
        <w:spacing w:line="240" w:lineRule="auto"/>
        <w:jc w:val="both"/>
        <w:rPr>
          <w:color w:val="FF0000"/>
        </w:rPr>
      </w:pPr>
      <w:r>
        <w:rPr>
          <w:b/>
          <w:sz w:val="20"/>
          <w:szCs w:val="20"/>
        </w:rPr>
        <w:lastRenderedPageBreak/>
        <w:t>Figure S.</w:t>
      </w:r>
      <w:r w:rsidR="0030568A">
        <w:rPr>
          <w:b/>
          <w:sz w:val="20"/>
          <w:szCs w:val="20"/>
        </w:rPr>
        <w:t>3</w:t>
      </w:r>
      <w:r>
        <w:rPr>
          <w:b/>
          <w:sz w:val="20"/>
          <w:szCs w:val="20"/>
        </w:rPr>
        <w:t xml:space="preserve"> Autocorrelation plot of the Indian gender-specific environmental heat and cold exposure mortality rates from 1990 to 2019. Panel (a) shows the mortality rates of Indian males; Panel (b) shows the mortality rates of Indian females. Mortality data and population data are obtained from the Global Burden of Disease Database.</w:t>
      </w:r>
    </w:p>
    <w:p w14:paraId="730CE1B6" w14:textId="77777777" w:rsidR="006C4F12" w:rsidRDefault="00827A53">
      <w:pPr>
        <w:jc w:val="center"/>
        <w:rPr>
          <w:color w:val="FF0000"/>
        </w:rPr>
      </w:pPr>
      <w:r>
        <w:rPr>
          <w:noProof/>
          <w:color w:val="FF0000"/>
        </w:rPr>
        <w:drawing>
          <wp:inline distT="114300" distB="114300" distL="114300" distR="114300" wp14:anchorId="2832E8DE" wp14:editId="441C5F85">
            <wp:extent cx="5120640" cy="3183331"/>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t="8103" b="34"/>
                    <a:stretch>
                      <a:fillRect/>
                    </a:stretch>
                  </pic:blipFill>
                  <pic:spPr>
                    <a:xfrm>
                      <a:off x="0" y="0"/>
                      <a:ext cx="5120640" cy="3183331"/>
                    </a:xfrm>
                    <a:prstGeom prst="rect">
                      <a:avLst/>
                    </a:prstGeom>
                    <a:ln/>
                  </pic:spPr>
                </pic:pic>
              </a:graphicData>
            </a:graphic>
          </wp:inline>
        </w:drawing>
      </w:r>
    </w:p>
    <w:p w14:paraId="503C021F" w14:textId="77777777" w:rsidR="006C4F12" w:rsidRDefault="00827A53">
      <w:pPr>
        <w:numPr>
          <w:ilvl w:val="0"/>
          <w:numId w:val="1"/>
        </w:numPr>
        <w:spacing w:line="240" w:lineRule="auto"/>
        <w:ind w:left="2610"/>
        <w:rPr>
          <w:b/>
          <w:sz w:val="20"/>
          <w:szCs w:val="20"/>
        </w:rPr>
      </w:pPr>
      <w:r>
        <w:rPr>
          <w:b/>
          <w:sz w:val="20"/>
          <w:szCs w:val="20"/>
        </w:rPr>
        <w:t xml:space="preserve">Summer months averaged daily mean temperature </w:t>
      </w:r>
    </w:p>
    <w:p w14:paraId="292A349B" w14:textId="77777777" w:rsidR="006C4F12" w:rsidRDefault="006C4F12">
      <w:pPr>
        <w:spacing w:line="240" w:lineRule="auto"/>
        <w:jc w:val="both"/>
        <w:rPr>
          <w:b/>
          <w:sz w:val="20"/>
          <w:szCs w:val="20"/>
        </w:rPr>
      </w:pPr>
    </w:p>
    <w:p w14:paraId="5330F3E0" w14:textId="77777777" w:rsidR="006C4F12" w:rsidRDefault="006C4F12">
      <w:pPr>
        <w:spacing w:line="240" w:lineRule="auto"/>
        <w:jc w:val="both"/>
        <w:rPr>
          <w:b/>
          <w:sz w:val="20"/>
          <w:szCs w:val="20"/>
        </w:rPr>
      </w:pPr>
    </w:p>
    <w:p w14:paraId="1808C2DA" w14:textId="77777777" w:rsidR="006C4F12" w:rsidRDefault="00827A53">
      <w:pPr>
        <w:jc w:val="center"/>
        <w:rPr>
          <w:color w:val="FF0000"/>
        </w:rPr>
      </w:pPr>
      <w:r>
        <w:rPr>
          <w:noProof/>
          <w:color w:val="FF0000"/>
        </w:rPr>
        <w:drawing>
          <wp:inline distT="114300" distB="114300" distL="114300" distR="114300" wp14:anchorId="0F89471D" wp14:editId="2079D630">
            <wp:extent cx="5120640" cy="3154314"/>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t="9045" b="34"/>
                    <a:stretch>
                      <a:fillRect/>
                    </a:stretch>
                  </pic:blipFill>
                  <pic:spPr>
                    <a:xfrm>
                      <a:off x="0" y="0"/>
                      <a:ext cx="5120640" cy="3154314"/>
                    </a:xfrm>
                    <a:prstGeom prst="rect">
                      <a:avLst/>
                    </a:prstGeom>
                    <a:ln/>
                  </pic:spPr>
                </pic:pic>
              </a:graphicData>
            </a:graphic>
          </wp:inline>
        </w:drawing>
      </w:r>
    </w:p>
    <w:p w14:paraId="2327DCF2" w14:textId="349F8A42" w:rsidR="006C4F12" w:rsidRDefault="00827A53">
      <w:pPr>
        <w:numPr>
          <w:ilvl w:val="0"/>
          <w:numId w:val="1"/>
        </w:numPr>
        <w:spacing w:line="240" w:lineRule="auto"/>
        <w:ind w:left="2610"/>
        <w:rPr>
          <w:b/>
          <w:sz w:val="20"/>
          <w:szCs w:val="20"/>
        </w:rPr>
      </w:pPr>
      <w:r>
        <w:rPr>
          <w:b/>
          <w:sz w:val="20"/>
          <w:szCs w:val="20"/>
        </w:rPr>
        <w:t xml:space="preserve">Summer months averaged daily </w:t>
      </w:r>
      <w:r w:rsidRPr="00827A53">
        <w:rPr>
          <w:b/>
          <w:sz w:val="20"/>
          <w:szCs w:val="20"/>
        </w:rPr>
        <w:t>m</w:t>
      </w:r>
      <w:r w:rsidR="00424F0D" w:rsidRPr="00827A53">
        <w:rPr>
          <w:rFonts w:hint="eastAsia"/>
          <w:b/>
          <w:sz w:val="20"/>
          <w:szCs w:val="20"/>
          <w:lang w:eastAsia="zh-TW"/>
        </w:rPr>
        <w:t>ax</w:t>
      </w:r>
      <w:r w:rsidRPr="00827A53">
        <w:rPr>
          <w:b/>
          <w:sz w:val="20"/>
          <w:szCs w:val="20"/>
        </w:rPr>
        <w:t xml:space="preserve"> </w:t>
      </w:r>
      <w:r>
        <w:rPr>
          <w:b/>
          <w:sz w:val="20"/>
          <w:szCs w:val="20"/>
        </w:rPr>
        <w:t xml:space="preserve">temperature </w:t>
      </w:r>
    </w:p>
    <w:p w14:paraId="4B53E8C9" w14:textId="77777777" w:rsidR="006C4F12" w:rsidRDefault="006C4F12">
      <w:pPr>
        <w:spacing w:line="240" w:lineRule="auto"/>
        <w:ind w:left="1440"/>
        <w:jc w:val="center"/>
        <w:rPr>
          <w:b/>
          <w:sz w:val="20"/>
          <w:szCs w:val="20"/>
        </w:rPr>
      </w:pPr>
    </w:p>
    <w:p w14:paraId="6D163BB0" w14:textId="7746FEC2" w:rsidR="006C4F12" w:rsidRDefault="00827A53">
      <w:pPr>
        <w:spacing w:line="240" w:lineRule="auto"/>
        <w:jc w:val="both"/>
        <w:rPr>
          <w:color w:val="0000FF"/>
        </w:rPr>
      </w:pPr>
      <w:r>
        <w:rPr>
          <w:b/>
          <w:sz w:val="20"/>
          <w:szCs w:val="20"/>
        </w:rPr>
        <w:t>Figure S.</w:t>
      </w:r>
      <w:r w:rsidR="0030568A">
        <w:rPr>
          <w:b/>
          <w:sz w:val="20"/>
          <w:szCs w:val="20"/>
        </w:rPr>
        <w:t>4</w:t>
      </w:r>
      <w:r>
        <w:rPr>
          <w:b/>
          <w:sz w:val="20"/>
          <w:szCs w:val="20"/>
        </w:rPr>
        <w:t xml:space="preserve"> Autocorrelation plot of the summer months (April, May, June, and July) averaged daily mean and max temperature from 1990 to 2019. Panel (a) shows the summer months average daily </w:t>
      </w:r>
      <w:r>
        <w:rPr>
          <w:b/>
          <w:sz w:val="20"/>
          <w:szCs w:val="20"/>
        </w:rPr>
        <w:lastRenderedPageBreak/>
        <w:t>mean temperature; Panel (b) shows the summer months average daily max temperature. Temperature data are obtained from IMD via Python package “IMDLIB”.</w:t>
      </w:r>
    </w:p>
    <w:p w14:paraId="08FCB285" w14:textId="77777777" w:rsidR="006C4F12" w:rsidRDefault="006C4F12">
      <w:pPr>
        <w:jc w:val="center"/>
        <w:rPr>
          <w:color w:val="0000FF"/>
        </w:rPr>
      </w:pPr>
    </w:p>
    <w:p w14:paraId="61595B3A" w14:textId="77777777" w:rsidR="006C4F12" w:rsidRDefault="00827A53">
      <w:pPr>
        <w:jc w:val="center"/>
        <w:rPr>
          <w:color w:val="FF0000"/>
        </w:rPr>
      </w:pPr>
      <w:r>
        <w:rPr>
          <w:noProof/>
          <w:color w:val="FF0000"/>
        </w:rPr>
        <w:drawing>
          <wp:inline distT="114300" distB="114300" distL="114300" distR="114300" wp14:anchorId="7D1AC12E" wp14:editId="06720870">
            <wp:extent cx="5120640" cy="3195279"/>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7793" b="34"/>
                    <a:stretch>
                      <a:fillRect/>
                    </a:stretch>
                  </pic:blipFill>
                  <pic:spPr>
                    <a:xfrm>
                      <a:off x="0" y="0"/>
                      <a:ext cx="5120640" cy="3195279"/>
                    </a:xfrm>
                    <a:prstGeom prst="rect">
                      <a:avLst/>
                    </a:prstGeom>
                    <a:ln/>
                  </pic:spPr>
                </pic:pic>
              </a:graphicData>
            </a:graphic>
          </wp:inline>
        </w:drawing>
      </w:r>
    </w:p>
    <w:p w14:paraId="3C0DA1C7" w14:textId="77777777" w:rsidR="006C4F12" w:rsidRDefault="00827A53">
      <w:pPr>
        <w:numPr>
          <w:ilvl w:val="0"/>
          <w:numId w:val="11"/>
        </w:numPr>
        <w:spacing w:line="240" w:lineRule="auto"/>
        <w:ind w:left="2610"/>
        <w:rPr>
          <w:b/>
          <w:sz w:val="20"/>
          <w:szCs w:val="20"/>
        </w:rPr>
      </w:pPr>
      <w:r>
        <w:rPr>
          <w:b/>
          <w:sz w:val="20"/>
          <w:szCs w:val="20"/>
        </w:rPr>
        <w:t xml:space="preserve">Winter months averaged daily mean temperature </w:t>
      </w:r>
    </w:p>
    <w:p w14:paraId="720423BC" w14:textId="77777777" w:rsidR="006C4F12" w:rsidRDefault="006C4F12">
      <w:pPr>
        <w:spacing w:line="240" w:lineRule="auto"/>
        <w:jc w:val="both"/>
        <w:rPr>
          <w:b/>
          <w:sz w:val="20"/>
          <w:szCs w:val="20"/>
        </w:rPr>
      </w:pPr>
    </w:p>
    <w:p w14:paraId="23DBD856" w14:textId="77777777" w:rsidR="006C4F12" w:rsidRDefault="00827A53">
      <w:pPr>
        <w:jc w:val="center"/>
        <w:rPr>
          <w:color w:val="FF0000"/>
        </w:rPr>
      </w:pPr>
      <w:r>
        <w:rPr>
          <w:noProof/>
          <w:color w:val="FF0000"/>
        </w:rPr>
        <w:drawing>
          <wp:inline distT="114300" distB="114300" distL="114300" distR="114300" wp14:anchorId="5FBA546D" wp14:editId="0A45CC17">
            <wp:extent cx="5120640" cy="3214624"/>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t="7596" b="34"/>
                    <a:stretch>
                      <a:fillRect/>
                    </a:stretch>
                  </pic:blipFill>
                  <pic:spPr>
                    <a:xfrm>
                      <a:off x="0" y="0"/>
                      <a:ext cx="5120640" cy="3214624"/>
                    </a:xfrm>
                    <a:prstGeom prst="rect">
                      <a:avLst/>
                    </a:prstGeom>
                    <a:ln/>
                  </pic:spPr>
                </pic:pic>
              </a:graphicData>
            </a:graphic>
          </wp:inline>
        </w:drawing>
      </w:r>
    </w:p>
    <w:p w14:paraId="44072A71" w14:textId="77777777" w:rsidR="006C4F12" w:rsidRDefault="00827A53">
      <w:pPr>
        <w:numPr>
          <w:ilvl w:val="0"/>
          <w:numId w:val="11"/>
        </w:numPr>
        <w:spacing w:line="240" w:lineRule="auto"/>
        <w:ind w:left="2610"/>
        <w:rPr>
          <w:b/>
          <w:sz w:val="20"/>
          <w:szCs w:val="20"/>
        </w:rPr>
      </w:pPr>
      <w:r>
        <w:rPr>
          <w:b/>
          <w:sz w:val="20"/>
          <w:szCs w:val="20"/>
        </w:rPr>
        <w:t xml:space="preserve">Winter months averaged daily minimum temperature </w:t>
      </w:r>
    </w:p>
    <w:p w14:paraId="61F40AAA" w14:textId="77777777" w:rsidR="006C4F12" w:rsidRDefault="006C4F12">
      <w:pPr>
        <w:spacing w:line="240" w:lineRule="auto"/>
        <w:ind w:left="2160"/>
        <w:rPr>
          <w:b/>
          <w:sz w:val="20"/>
          <w:szCs w:val="20"/>
        </w:rPr>
      </w:pPr>
    </w:p>
    <w:p w14:paraId="6A49FEE3" w14:textId="477EFE11" w:rsidR="006C4F12" w:rsidRDefault="00827A53">
      <w:pPr>
        <w:spacing w:line="240" w:lineRule="auto"/>
        <w:jc w:val="both"/>
        <w:rPr>
          <w:b/>
          <w:sz w:val="20"/>
          <w:szCs w:val="20"/>
        </w:rPr>
      </w:pPr>
      <w:r>
        <w:rPr>
          <w:b/>
          <w:sz w:val="20"/>
          <w:szCs w:val="20"/>
        </w:rPr>
        <w:t>Figure S.</w:t>
      </w:r>
      <w:r w:rsidR="0030568A">
        <w:rPr>
          <w:b/>
          <w:sz w:val="20"/>
          <w:szCs w:val="20"/>
        </w:rPr>
        <w:t>5</w:t>
      </w:r>
      <w:r>
        <w:rPr>
          <w:b/>
          <w:sz w:val="20"/>
          <w:szCs w:val="20"/>
        </w:rPr>
        <w:t xml:space="preserve"> Autocorrelation plot of the winter months (December, January, and February) averaged daily mean and minimum temperature from 1990 to 2019. Panel (a) shows the winter months' average daily mean temperature; Panel (b) shows the winter months' average daily minimum temperature. Temperature data are obtained from IMD via Python package “IMDLIB”.</w:t>
      </w:r>
    </w:p>
    <w:p w14:paraId="1E4F643B" w14:textId="77777777" w:rsidR="0030568A" w:rsidRDefault="0030568A">
      <w:pPr>
        <w:spacing w:line="240" w:lineRule="auto"/>
        <w:jc w:val="both"/>
        <w:rPr>
          <w:b/>
          <w:sz w:val="20"/>
          <w:szCs w:val="20"/>
        </w:rPr>
      </w:pPr>
    </w:p>
    <w:p w14:paraId="2DDB71F3" w14:textId="77777777" w:rsidR="0030568A" w:rsidRDefault="0030568A">
      <w:pPr>
        <w:spacing w:line="240" w:lineRule="auto"/>
        <w:jc w:val="both"/>
        <w:rPr>
          <w:b/>
          <w:sz w:val="20"/>
          <w:szCs w:val="20"/>
        </w:rPr>
      </w:pPr>
    </w:p>
    <w:p w14:paraId="087AA173" w14:textId="5AFB2772" w:rsidR="006C4F12" w:rsidRDefault="0030568A" w:rsidP="0030568A">
      <w:pPr>
        <w:spacing w:line="240" w:lineRule="auto"/>
        <w:rPr>
          <w:b/>
          <w:sz w:val="20"/>
          <w:szCs w:val="20"/>
        </w:rPr>
      </w:pPr>
      <w:r>
        <w:rPr>
          <w:b/>
          <w:sz w:val="20"/>
          <w:szCs w:val="20"/>
        </w:rPr>
        <w:t xml:space="preserve">A.4 </w:t>
      </w:r>
      <w:r>
        <w:rPr>
          <w:b/>
        </w:rPr>
        <w:t xml:space="preserve">Autocorrelation Plots </w:t>
      </w:r>
      <w:r>
        <w:rPr>
          <w:b/>
          <w:sz w:val="20"/>
          <w:szCs w:val="20"/>
        </w:rPr>
        <w:t>of Monthly Averaged Temperatures</w:t>
      </w:r>
    </w:p>
    <w:p w14:paraId="26B4DF74" w14:textId="77777777" w:rsidR="0030568A" w:rsidRDefault="0030568A">
      <w:pPr>
        <w:spacing w:line="240" w:lineRule="auto"/>
        <w:jc w:val="both"/>
        <w:rPr>
          <w:b/>
          <w:sz w:val="20"/>
          <w:szCs w:val="20"/>
        </w:rPr>
      </w:pPr>
    </w:p>
    <w:p w14:paraId="1F192C27" w14:textId="77777777" w:rsidR="0030568A" w:rsidRDefault="0030568A" w:rsidP="0030568A">
      <w:pPr>
        <w:spacing w:line="240" w:lineRule="auto"/>
        <w:rPr>
          <w:b/>
          <w:sz w:val="20"/>
          <w:szCs w:val="20"/>
        </w:rPr>
      </w:pPr>
    </w:p>
    <w:p w14:paraId="23BF9342" w14:textId="77777777" w:rsidR="0030568A" w:rsidRDefault="0030568A" w:rsidP="0030568A">
      <w:pPr>
        <w:spacing w:line="240" w:lineRule="auto"/>
        <w:ind w:left="720"/>
        <w:rPr>
          <w:b/>
        </w:rPr>
      </w:pPr>
      <w:r>
        <w:rPr>
          <w:b/>
          <w:noProof/>
        </w:rPr>
        <w:drawing>
          <wp:inline distT="114300" distB="114300" distL="114300" distR="114300" wp14:anchorId="14727317" wp14:editId="1E3892FE">
            <wp:extent cx="5119200" cy="3193200"/>
            <wp:effectExtent l="0" t="0" r="5715" b="7620"/>
            <wp:docPr id="25" name="image22.jpg" descr="A graph showing the average temperature&#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22.jpg" descr="A graph showing the average temperature&#10;&#10;Description automatically generated"/>
                    <pic:cNvPicPr preferRelativeResize="0"/>
                  </pic:nvPicPr>
                  <pic:blipFill>
                    <a:blip r:embed="rId17"/>
                    <a:srcRect t="8842" b="1147"/>
                    <a:stretch>
                      <a:fillRect/>
                    </a:stretch>
                  </pic:blipFill>
                  <pic:spPr>
                    <a:xfrm>
                      <a:off x="0" y="0"/>
                      <a:ext cx="5119200" cy="3193200"/>
                    </a:xfrm>
                    <a:prstGeom prst="rect">
                      <a:avLst/>
                    </a:prstGeom>
                    <a:ln/>
                  </pic:spPr>
                </pic:pic>
              </a:graphicData>
            </a:graphic>
          </wp:inline>
        </w:drawing>
      </w:r>
    </w:p>
    <w:p w14:paraId="07812292" w14:textId="77777777" w:rsidR="0030568A" w:rsidRDefault="0030568A" w:rsidP="0030568A">
      <w:pPr>
        <w:numPr>
          <w:ilvl w:val="0"/>
          <w:numId w:val="3"/>
        </w:numPr>
        <w:spacing w:line="240" w:lineRule="auto"/>
        <w:jc w:val="center"/>
        <w:rPr>
          <w:b/>
        </w:rPr>
      </w:pPr>
      <w:r>
        <w:rPr>
          <w:b/>
          <w:sz w:val="20"/>
          <w:szCs w:val="20"/>
        </w:rPr>
        <w:t>ACF plot of averaged monthly max temperature from 1990 to 2019</w:t>
      </w:r>
      <w:r>
        <w:rPr>
          <w:b/>
          <w:noProof/>
        </w:rPr>
        <w:drawing>
          <wp:inline distT="114300" distB="114300" distL="114300" distR="114300" wp14:anchorId="3261F57D" wp14:editId="7B6BD025">
            <wp:extent cx="5119200" cy="3193200"/>
            <wp:effectExtent l="0" t="0" r="5715" b="7620"/>
            <wp:docPr id="6" name="image1.jpg" descr="A graph showing the average monthly temperatur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jpg" descr="A graph showing the average monthly temperature&#10;&#10;Description automatically generated"/>
                    <pic:cNvPicPr preferRelativeResize="0"/>
                  </pic:nvPicPr>
                  <pic:blipFill>
                    <a:blip r:embed="rId18"/>
                    <a:srcRect t="7476" b="1570"/>
                    <a:stretch>
                      <a:fillRect/>
                    </a:stretch>
                  </pic:blipFill>
                  <pic:spPr>
                    <a:xfrm>
                      <a:off x="0" y="0"/>
                      <a:ext cx="5119200" cy="3193200"/>
                    </a:xfrm>
                    <a:prstGeom prst="rect">
                      <a:avLst/>
                    </a:prstGeom>
                    <a:ln/>
                  </pic:spPr>
                </pic:pic>
              </a:graphicData>
            </a:graphic>
          </wp:inline>
        </w:drawing>
      </w:r>
    </w:p>
    <w:p w14:paraId="0017FB7B" w14:textId="77777777" w:rsidR="0030568A" w:rsidRDefault="0030568A" w:rsidP="0030568A">
      <w:pPr>
        <w:spacing w:line="240" w:lineRule="auto"/>
        <w:ind w:left="720"/>
        <w:jc w:val="center"/>
        <w:rPr>
          <w:b/>
          <w:sz w:val="20"/>
          <w:szCs w:val="20"/>
        </w:rPr>
      </w:pPr>
      <w:r>
        <w:rPr>
          <w:b/>
          <w:sz w:val="20"/>
          <w:szCs w:val="20"/>
        </w:rPr>
        <w:t>(b) ACF plot of averaged monthly mean temperature from 1990 to 2019</w:t>
      </w:r>
    </w:p>
    <w:p w14:paraId="33175941" w14:textId="77777777" w:rsidR="0030568A" w:rsidRDefault="0030568A" w:rsidP="0030568A">
      <w:pPr>
        <w:spacing w:line="240" w:lineRule="auto"/>
        <w:ind w:left="720"/>
        <w:rPr>
          <w:b/>
        </w:rPr>
      </w:pPr>
    </w:p>
    <w:p w14:paraId="21C7D59A" w14:textId="77777777" w:rsidR="0030568A" w:rsidRDefault="0030568A" w:rsidP="0030568A">
      <w:pPr>
        <w:spacing w:line="240" w:lineRule="auto"/>
        <w:ind w:left="720"/>
        <w:rPr>
          <w:b/>
        </w:rPr>
      </w:pPr>
      <w:r>
        <w:rPr>
          <w:b/>
          <w:noProof/>
        </w:rPr>
        <w:lastRenderedPageBreak/>
        <w:drawing>
          <wp:inline distT="114300" distB="114300" distL="114300" distR="114300" wp14:anchorId="4E4A6B85" wp14:editId="69AD7D17">
            <wp:extent cx="5119200" cy="3193200"/>
            <wp:effectExtent l="0" t="0" r="5715" b="7620"/>
            <wp:docPr id="19" name="image10.jpg" descr="A graph showing the average monthly temperatur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0.jpg" descr="A graph showing the average monthly temperature&#10;&#10;Description automatically generated"/>
                    <pic:cNvPicPr preferRelativeResize="0"/>
                  </pic:nvPicPr>
                  <pic:blipFill>
                    <a:blip r:embed="rId18"/>
                    <a:srcRect t="8303" b="1924"/>
                    <a:stretch>
                      <a:fillRect/>
                    </a:stretch>
                  </pic:blipFill>
                  <pic:spPr>
                    <a:xfrm>
                      <a:off x="0" y="0"/>
                      <a:ext cx="5119200" cy="3193200"/>
                    </a:xfrm>
                    <a:prstGeom prst="rect">
                      <a:avLst/>
                    </a:prstGeom>
                    <a:ln/>
                  </pic:spPr>
                </pic:pic>
              </a:graphicData>
            </a:graphic>
          </wp:inline>
        </w:drawing>
      </w:r>
    </w:p>
    <w:p w14:paraId="0A5A44E6" w14:textId="77777777" w:rsidR="0030568A" w:rsidRDefault="0030568A" w:rsidP="0030568A">
      <w:pPr>
        <w:numPr>
          <w:ilvl w:val="0"/>
          <w:numId w:val="5"/>
        </w:numPr>
        <w:spacing w:line="240" w:lineRule="auto"/>
        <w:rPr>
          <w:b/>
          <w:sz w:val="20"/>
          <w:szCs w:val="20"/>
        </w:rPr>
      </w:pPr>
      <w:r>
        <w:rPr>
          <w:b/>
          <w:sz w:val="20"/>
          <w:szCs w:val="20"/>
        </w:rPr>
        <w:t>ACF plot of averaged monthly minimum temperature from 1990 to 2019</w:t>
      </w:r>
    </w:p>
    <w:p w14:paraId="4411D7C3" w14:textId="77777777" w:rsidR="0030568A" w:rsidRDefault="0030568A" w:rsidP="0030568A">
      <w:pPr>
        <w:spacing w:line="240" w:lineRule="auto"/>
        <w:jc w:val="both"/>
        <w:rPr>
          <w:b/>
          <w:sz w:val="20"/>
          <w:szCs w:val="20"/>
        </w:rPr>
      </w:pPr>
    </w:p>
    <w:p w14:paraId="7B8F341F" w14:textId="1D21FCDB" w:rsidR="0030568A" w:rsidRDefault="0030568A" w:rsidP="0030568A">
      <w:pPr>
        <w:spacing w:line="240" w:lineRule="auto"/>
        <w:jc w:val="both"/>
        <w:rPr>
          <w:b/>
          <w:sz w:val="20"/>
          <w:szCs w:val="20"/>
        </w:rPr>
      </w:pPr>
      <w:r>
        <w:rPr>
          <w:b/>
          <w:sz w:val="20"/>
          <w:szCs w:val="20"/>
        </w:rPr>
        <w:t>Figure S.6 Autocorrelation plot of the yearly average monthly maximum, mean, and minimum temperature from 1990 to 2019. Panel (a) is the autocorrelation plot of the monthly maximum temperature; Panel (b) is the autocorrelation plot of the monthly mean temperature; Panel (c) is the autocorrelation plot of the monthly minimum temperature. Temperature data are obtained from IMD via Python package “IMDLIB”.</w:t>
      </w:r>
    </w:p>
    <w:p w14:paraId="3FCF72C3" w14:textId="77777777" w:rsidR="0030568A" w:rsidRDefault="0030568A" w:rsidP="0030568A">
      <w:pPr>
        <w:spacing w:line="240" w:lineRule="auto"/>
        <w:jc w:val="both"/>
        <w:rPr>
          <w:b/>
        </w:rPr>
      </w:pPr>
      <w:r>
        <w:br w:type="page"/>
      </w:r>
    </w:p>
    <w:p w14:paraId="3A886F0D" w14:textId="77777777" w:rsidR="0030568A" w:rsidRDefault="0030568A">
      <w:pPr>
        <w:spacing w:line="240" w:lineRule="auto"/>
        <w:jc w:val="both"/>
        <w:rPr>
          <w:b/>
          <w:sz w:val="20"/>
          <w:szCs w:val="20"/>
        </w:rPr>
      </w:pPr>
    </w:p>
    <w:p w14:paraId="639068BB" w14:textId="77777777" w:rsidR="006C4F12" w:rsidRDefault="006C4F12">
      <w:pPr>
        <w:spacing w:line="240" w:lineRule="auto"/>
        <w:jc w:val="both"/>
        <w:rPr>
          <w:b/>
          <w:sz w:val="20"/>
          <w:szCs w:val="20"/>
        </w:rPr>
      </w:pPr>
    </w:p>
    <w:p w14:paraId="360EB15D" w14:textId="3749D55B" w:rsidR="006C4F12" w:rsidRDefault="00EB23DA">
      <w:pPr>
        <w:rPr>
          <w:b/>
        </w:rPr>
      </w:pPr>
      <w:r>
        <w:rPr>
          <w:b/>
        </w:rPr>
        <w:t>A.</w:t>
      </w:r>
      <w:r w:rsidR="0030568A">
        <w:rPr>
          <w:b/>
        </w:rPr>
        <w:t>5</w:t>
      </w:r>
      <w:r>
        <w:rPr>
          <w:b/>
        </w:rPr>
        <w:t xml:space="preserve"> Monthly Moving Average Maps of Spatial Distribution of Temperature</w:t>
      </w:r>
    </w:p>
    <w:p w14:paraId="6CB7180C" w14:textId="77777777" w:rsidR="006C4F12" w:rsidRDefault="006C4F12">
      <w:pPr>
        <w:rPr>
          <w:b/>
        </w:rPr>
      </w:pPr>
    </w:p>
    <w:p w14:paraId="47226757" w14:textId="77777777" w:rsidR="006C4F12" w:rsidRDefault="00827A53">
      <w:pPr>
        <w:rPr>
          <w:b/>
        </w:rPr>
      </w:pPr>
      <w:r>
        <w:rPr>
          <w:b/>
          <w:noProof/>
        </w:rPr>
        <w:drawing>
          <wp:inline distT="114300" distB="114300" distL="114300" distR="114300" wp14:anchorId="32B356D0" wp14:editId="251635D7">
            <wp:extent cx="2786063" cy="2178844"/>
            <wp:effectExtent l="0" t="0" r="0" b="0"/>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a:stretch>
                      <a:fillRect/>
                    </a:stretch>
                  </pic:blipFill>
                  <pic:spPr>
                    <a:xfrm>
                      <a:off x="0" y="0"/>
                      <a:ext cx="2786063" cy="2178844"/>
                    </a:xfrm>
                    <a:prstGeom prst="rect">
                      <a:avLst/>
                    </a:prstGeom>
                    <a:ln/>
                  </pic:spPr>
                </pic:pic>
              </a:graphicData>
            </a:graphic>
          </wp:inline>
        </w:drawing>
      </w:r>
      <w:r>
        <w:rPr>
          <w:b/>
        </w:rPr>
        <w:t xml:space="preserve">  </w:t>
      </w:r>
      <w:r>
        <w:rPr>
          <w:b/>
          <w:noProof/>
        </w:rPr>
        <w:drawing>
          <wp:inline distT="114300" distB="114300" distL="114300" distR="114300" wp14:anchorId="601C4F7F" wp14:editId="3922A589">
            <wp:extent cx="2786063" cy="2178844"/>
            <wp:effectExtent l="0" t="0" r="0"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0"/>
                    <a:srcRect l="144" r="144"/>
                    <a:stretch>
                      <a:fillRect/>
                    </a:stretch>
                  </pic:blipFill>
                  <pic:spPr>
                    <a:xfrm>
                      <a:off x="0" y="0"/>
                      <a:ext cx="2786063" cy="2178844"/>
                    </a:xfrm>
                    <a:prstGeom prst="rect">
                      <a:avLst/>
                    </a:prstGeom>
                    <a:ln/>
                  </pic:spPr>
                </pic:pic>
              </a:graphicData>
            </a:graphic>
          </wp:inline>
        </w:drawing>
      </w:r>
    </w:p>
    <w:p w14:paraId="0DE34C80" w14:textId="77777777" w:rsidR="006C4F12" w:rsidRDefault="00827A53">
      <w:pPr>
        <w:numPr>
          <w:ilvl w:val="0"/>
          <w:numId w:val="13"/>
        </w:numPr>
        <w:ind w:left="1800"/>
        <w:rPr>
          <w:b/>
        </w:rPr>
      </w:pPr>
      <w:r>
        <w:rPr>
          <w:b/>
        </w:rPr>
        <w:t>2019 January                                             (b) 2019 February</w:t>
      </w:r>
    </w:p>
    <w:p w14:paraId="63FA8072" w14:textId="77777777" w:rsidR="006C4F12" w:rsidRDefault="006C4F12">
      <w:pPr>
        <w:rPr>
          <w:b/>
        </w:rPr>
      </w:pPr>
    </w:p>
    <w:p w14:paraId="1C1E8D3A" w14:textId="77777777" w:rsidR="006C4F12" w:rsidRDefault="00827A53">
      <w:pPr>
        <w:rPr>
          <w:b/>
        </w:rPr>
      </w:pPr>
      <w:r>
        <w:rPr>
          <w:b/>
          <w:noProof/>
        </w:rPr>
        <w:drawing>
          <wp:inline distT="114300" distB="114300" distL="114300" distR="114300" wp14:anchorId="01354FEA" wp14:editId="754780FF">
            <wp:extent cx="2786063" cy="2178844"/>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l="144" r="144"/>
                    <a:stretch>
                      <a:fillRect/>
                    </a:stretch>
                  </pic:blipFill>
                  <pic:spPr>
                    <a:xfrm>
                      <a:off x="0" y="0"/>
                      <a:ext cx="2786063" cy="2178844"/>
                    </a:xfrm>
                    <a:prstGeom prst="rect">
                      <a:avLst/>
                    </a:prstGeom>
                    <a:ln/>
                  </pic:spPr>
                </pic:pic>
              </a:graphicData>
            </a:graphic>
          </wp:inline>
        </w:drawing>
      </w:r>
      <w:r>
        <w:rPr>
          <w:b/>
        </w:rPr>
        <w:t xml:space="preserve">  </w:t>
      </w:r>
      <w:r>
        <w:rPr>
          <w:b/>
          <w:noProof/>
        </w:rPr>
        <w:drawing>
          <wp:inline distT="114300" distB="114300" distL="114300" distR="114300" wp14:anchorId="532CB14B" wp14:editId="749A7CCF">
            <wp:extent cx="2786063" cy="2178844"/>
            <wp:effectExtent l="0" t="0" r="0" b="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2"/>
                    <a:srcRect l="144" r="144"/>
                    <a:stretch>
                      <a:fillRect/>
                    </a:stretch>
                  </pic:blipFill>
                  <pic:spPr>
                    <a:xfrm>
                      <a:off x="0" y="0"/>
                      <a:ext cx="2786063" cy="2178844"/>
                    </a:xfrm>
                    <a:prstGeom prst="rect">
                      <a:avLst/>
                    </a:prstGeom>
                    <a:ln/>
                  </pic:spPr>
                </pic:pic>
              </a:graphicData>
            </a:graphic>
          </wp:inline>
        </w:drawing>
      </w:r>
    </w:p>
    <w:p w14:paraId="5B1CAE8E" w14:textId="77777777" w:rsidR="006C4F12" w:rsidRDefault="00827A53">
      <w:pPr>
        <w:numPr>
          <w:ilvl w:val="0"/>
          <w:numId w:val="4"/>
        </w:numPr>
        <w:ind w:left="1800"/>
        <w:rPr>
          <w:b/>
        </w:rPr>
      </w:pPr>
      <w:r>
        <w:rPr>
          <w:b/>
        </w:rPr>
        <w:t>2019 March                                               (d) 2019 April</w:t>
      </w:r>
    </w:p>
    <w:p w14:paraId="7661582C" w14:textId="77777777" w:rsidR="006C4F12" w:rsidRDefault="006C4F12">
      <w:pPr>
        <w:ind w:left="720"/>
        <w:rPr>
          <w:b/>
        </w:rPr>
      </w:pPr>
    </w:p>
    <w:p w14:paraId="0F8080FB" w14:textId="77777777" w:rsidR="006C4F12" w:rsidRDefault="00827A53">
      <w:pPr>
        <w:rPr>
          <w:b/>
        </w:rPr>
      </w:pPr>
      <w:r>
        <w:rPr>
          <w:b/>
          <w:noProof/>
        </w:rPr>
        <w:drawing>
          <wp:inline distT="114300" distB="114300" distL="114300" distR="114300" wp14:anchorId="65B306FC" wp14:editId="201FE012">
            <wp:extent cx="2786063" cy="2178844"/>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l="144" r="144"/>
                    <a:stretch>
                      <a:fillRect/>
                    </a:stretch>
                  </pic:blipFill>
                  <pic:spPr>
                    <a:xfrm>
                      <a:off x="0" y="0"/>
                      <a:ext cx="2786063" cy="2178844"/>
                    </a:xfrm>
                    <a:prstGeom prst="rect">
                      <a:avLst/>
                    </a:prstGeom>
                    <a:ln/>
                  </pic:spPr>
                </pic:pic>
              </a:graphicData>
            </a:graphic>
          </wp:inline>
        </w:drawing>
      </w:r>
      <w:r>
        <w:rPr>
          <w:b/>
        </w:rPr>
        <w:t xml:space="preserve">  </w:t>
      </w:r>
      <w:r>
        <w:rPr>
          <w:b/>
          <w:noProof/>
        </w:rPr>
        <w:drawing>
          <wp:inline distT="114300" distB="114300" distL="114300" distR="114300" wp14:anchorId="01E3C2F2" wp14:editId="19BA7E6E">
            <wp:extent cx="2786063" cy="2178844"/>
            <wp:effectExtent l="0" t="0" r="0" b="0"/>
            <wp:docPr id="2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4"/>
                    <a:srcRect l="144" r="144"/>
                    <a:stretch>
                      <a:fillRect/>
                    </a:stretch>
                  </pic:blipFill>
                  <pic:spPr>
                    <a:xfrm>
                      <a:off x="0" y="0"/>
                      <a:ext cx="2786063" cy="2178844"/>
                    </a:xfrm>
                    <a:prstGeom prst="rect">
                      <a:avLst/>
                    </a:prstGeom>
                    <a:ln/>
                  </pic:spPr>
                </pic:pic>
              </a:graphicData>
            </a:graphic>
          </wp:inline>
        </w:drawing>
      </w:r>
    </w:p>
    <w:p w14:paraId="4FE0CD5D" w14:textId="77777777" w:rsidR="006C4F12" w:rsidRDefault="00827A53">
      <w:pPr>
        <w:numPr>
          <w:ilvl w:val="0"/>
          <w:numId w:val="12"/>
        </w:numPr>
        <w:ind w:left="1800"/>
        <w:rPr>
          <w:b/>
        </w:rPr>
      </w:pPr>
      <w:r>
        <w:rPr>
          <w:b/>
        </w:rPr>
        <w:t xml:space="preserve">2019 May          </w:t>
      </w:r>
      <w:r>
        <w:rPr>
          <w:b/>
        </w:rPr>
        <w:t xml:space="preserve">                                      (f) 2019 June</w:t>
      </w:r>
    </w:p>
    <w:p w14:paraId="7E333AC1" w14:textId="77777777" w:rsidR="006C4F12" w:rsidRDefault="006C4F12">
      <w:pPr>
        <w:rPr>
          <w:b/>
        </w:rPr>
      </w:pPr>
    </w:p>
    <w:p w14:paraId="0E61F361" w14:textId="77777777" w:rsidR="006C4F12" w:rsidRDefault="00827A53">
      <w:pPr>
        <w:rPr>
          <w:b/>
        </w:rPr>
      </w:pPr>
      <w:r>
        <w:rPr>
          <w:b/>
          <w:noProof/>
        </w:rPr>
        <w:drawing>
          <wp:inline distT="114300" distB="114300" distL="114300" distR="114300" wp14:anchorId="22910480" wp14:editId="3066785E">
            <wp:extent cx="2786063" cy="2178844"/>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l="144" r="144"/>
                    <a:stretch>
                      <a:fillRect/>
                    </a:stretch>
                  </pic:blipFill>
                  <pic:spPr>
                    <a:xfrm>
                      <a:off x="0" y="0"/>
                      <a:ext cx="2786063" cy="2178844"/>
                    </a:xfrm>
                    <a:prstGeom prst="rect">
                      <a:avLst/>
                    </a:prstGeom>
                    <a:ln/>
                  </pic:spPr>
                </pic:pic>
              </a:graphicData>
            </a:graphic>
          </wp:inline>
        </w:drawing>
      </w:r>
      <w:r>
        <w:rPr>
          <w:b/>
        </w:rPr>
        <w:t xml:space="preserve">  </w:t>
      </w:r>
      <w:r>
        <w:rPr>
          <w:b/>
          <w:noProof/>
        </w:rPr>
        <w:drawing>
          <wp:inline distT="114300" distB="114300" distL="114300" distR="114300" wp14:anchorId="66248E21" wp14:editId="236D7BFB">
            <wp:extent cx="2786063" cy="2178844"/>
            <wp:effectExtent l="0" t="0" r="0" b="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l="144" r="144"/>
                    <a:stretch>
                      <a:fillRect/>
                    </a:stretch>
                  </pic:blipFill>
                  <pic:spPr>
                    <a:xfrm>
                      <a:off x="0" y="0"/>
                      <a:ext cx="2786063" cy="2178844"/>
                    </a:xfrm>
                    <a:prstGeom prst="rect">
                      <a:avLst/>
                    </a:prstGeom>
                    <a:ln/>
                  </pic:spPr>
                </pic:pic>
              </a:graphicData>
            </a:graphic>
          </wp:inline>
        </w:drawing>
      </w:r>
    </w:p>
    <w:p w14:paraId="5EC28E0D" w14:textId="77777777" w:rsidR="006C4F12" w:rsidRDefault="00827A53">
      <w:pPr>
        <w:numPr>
          <w:ilvl w:val="0"/>
          <w:numId w:val="10"/>
        </w:numPr>
        <w:ind w:left="1890"/>
        <w:rPr>
          <w:b/>
        </w:rPr>
      </w:pPr>
      <w:r>
        <w:rPr>
          <w:b/>
        </w:rPr>
        <w:t>2019 July                                           (h) 2019 August</w:t>
      </w:r>
    </w:p>
    <w:p w14:paraId="68D0834E" w14:textId="77777777" w:rsidR="006C4F12" w:rsidRDefault="006C4F12">
      <w:pPr>
        <w:ind w:left="3600"/>
        <w:rPr>
          <w:b/>
        </w:rPr>
      </w:pPr>
    </w:p>
    <w:p w14:paraId="224A2779" w14:textId="77777777" w:rsidR="006C4F12" w:rsidRDefault="00827A53">
      <w:pPr>
        <w:rPr>
          <w:b/>
        </w:rPr>
      </w:pPr>
      <w:r>
        <w:rPr>
          <w:b/>
          <w:noProof/>
        </w:rPr>
        <w:drawing>
          <wp:inline distT="114300" distB="114300" distL="114300" distR="114300" wp14:anchorId="3A3A068E" wp14:editId="5F1A3C2B">
            <wp:extent cx="2786063" cy="2178844"/>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7"/>
                    <a:srcRect l="144" r="144"/>
                    <a:stretch>
                      <a:fillRect/>
                    </a:stretch>
                  </pic:blipFill>
                  <pic:spPr>
                    <a:xfrm>
                      <a:off x="0" y="0"/>
                      <a:ext cx="2786063" cy="2178844"/>
                    </a:xfrm>
                    <a:prstGeom prst="rect">
                      <a:avLst/>
                    </a:prstGeom>
                    <a:ln/>
                  </pic:spPr>
                </pic:pic>
              </a:graphicData>
            </a:graphic>
          </wp:inline>
        </w:drawing>
      </w:r>
      <w:r>
        <w:rPr>
          <w:b/>
        </w:rPr>
        <w:t xml:space="preserve">  </w:t>
      </w:r>
      <w:r>
        <w:rPr>
          <w:b/>
          <w:noProof/>
        </w:rPr>
        <w:drawing>
          <wp:inline distT="114300" distB="114300" distL="114300" distR="114300" wp14:anchorId="0C831B82" wp14:editId="1CC3148F">
            <wp:extent cx="2786063" cy="2178844"/>
            <wp:effectExtent l="0" t="0" r="0" b="0"/>
            <wp:docPr id="2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8"/>
                    <a:srcRect l="144" r="144"/>
                    <a:stretch>
                      <a:fillRect/>
                    </a:stretch>
                  </pic:blipFill>
                  <pic:spPr>
                    <a:xfrm>
                      <a:off x="0" y="0"/>
                      <a:ext cx="2786063" cy="2178844"/>
                    </a:xfrm>
                    <a:prstGeom prst="rect">
                      <a:avLst/>
                    </a:prstGeom>
                    <a:ln/>
                  </pic:spPr>
                </pic:pic>
              </a:graphicData>
            </a:graphic>
          </wp:inline>
        </w:drawing>
      </w:r>
    </w:p>
    <w:p w14:paraId="11D90229" w14:textId="77777777" w:rsidR="006C4F12" w:rsidRDefault="00827A53">
      <w:pPr>
        <w:numPr>
          <w:ilvl w:val="0"/>
          <w:numId w:val="6"/>
        </w:numPr>
        <w:ind w:left="1800"/>
        <w:rPr>
          <w:b/>
        </w:rPr>
      </w:pPr>
      <w:r>
        <w:rPr>
          <w:b/>
        </w:rPr>
        <w:t>2019 September                                            (j) 2019 October</w:t>
      </w:r>
    </w:p>
    <w:p w14:paraId="4D349105" w14:textId="77777777" w:rsidR="006C4F12" w:rsidRDefault="006C4F12">
      <w:pPr>
        <w:rPr>
          <w:b/>
        </w:rPr>
      </w:pPr>
    </w:p>
    <w:p w14:paraId="74AC5A82" w14:textId="77777777" w:rsidR="006C4F12" w:rsidRDefault="00827A53">
      <w:pPr>
        <w:rPr>
          <w:b/>
        </w:rPr>
      </w:pPr>
      <w:r>
        <w:rPr>
          <w:b/>
          <w:noProof/>
        </w:rPr>
        <w:drawing>
          <wp:inline distT="114300" distB="114300" distL="114300" distR="114300" wp14:anchorId="02F86C9F" wp14:editId="0F6BCBDC">
            <wp:extent cx="2786063" cy="2178844"/>
            <wp:effectExtent l="0" t="0" r="0" b="0"/>
            <wp:docPr id="2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9"/>
                    <a:srcRect l="144" r="144"/>
                    <a:stretch>
                      <a:fillRect/>
                    </a:stretch>
                  </pic:blipFill>
                  <pic:spPr>
                    <a:xfrm>
                      <a:off x="0" y="0"/>
                      <a:ext cx="2786063" cy="2178844"/>
                    </a:xfrm>
                    <a:prstGeom prst="rect">
                      <a:avLst/>
                    </a:prstGeom>
                    <a:ln/>
                  </pic:spPr>
                </pic:pic>
              </a:graphicData>
            </a:graphic>
          </wp:inline>
        </w:drawing>
      </w:r>
      <w:r>
        <w:rPr>
          <w:b/>
        </w:rPr>
        <w:t xml:space="preserve">  </w:t>
      </w:r>
      <w:r>
        <w:rPr>
          <w:b/>
          <w:noProof/>
        </w:rPr>
        <w:drawing>
          <wp:inline distT="114300" distB="114300" distL="114300" distR="114300" wp14:anchorId="35785DF6" wp14:editId="65B98932">
            <wp:extent cx="2786063" cy="2178844"/>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0"/>
                    <a:srcRect l="144" r="144"/>
                    <a:stretch>
                      <a:fillRect/>
                    </a:stretch>
                  </pic:blipFill>
                  <pic:spPr>
                    <a:xfrm>
                      <a:off x="0" y="0"/>
                      <a:ext cx="2786063" cy="2178844"/>
                    </a:xfrm>
                    <a:prstGeom prst="rect">
                      <a:avLst/>
                    </a:prstGeom>
                    <a:ln/>
                  </pic:spPr>
                </pic:pic>
              </a:graphicData>
            </a:graphic>
          </wp:inline>
        </w:drawing>
      </w:r>
    </w:p>
    <w:p w14:paraId="13192A6F" w14:textId="77777777" w:rsidR="006C4F12" w:rsidRDefault="00827A53">
      <w:pPr>
        <w:numPr>
          <w:ilvl w:val="0"/>
          <w:numId w:val="7"/>
        </w:numPr>
        <w:ind w:left="1800"/>
        <w:rPr>
          <w:b/>
        </w:rPr>
      </w:pPr>
      <w:r>
        <w:rPr>
          <w:b/>
        </w:rPr>
        <w:t>2019 November                                           (l) 2019 December</w:t>
      </w:r>
    </w:p>
    <w:p w14:paraId="477DABE1" w14:textId="77777777" w:rsidR="006C4F12" w:rsidRDefault="006C4F12">
      <w:pPr>
        <w:ind w:left="720"/>
        <w:rPr>
          <w:b/>
        </w:rPr>
      </w:pPr>
    </w:p>
    <w:p w14:paraId="3B37C27C" w14:textId="77777777" w:rsidR="006C4F12" w:rsidRDefault="00827A53" w:rsidP="00FC2A8A">
      <w:pPr>
        <w:rPr>
          <w:b/>
        </w:rPr>
      </w:pPr>
      <w:r>
        <w:rPr>
          <w:b/>
        </w:rPr>
        <w:lastRenderedPageBreak/>
        <w:t>Figure S.7 Maps of the moving average monthly mean of daily max temperature in India of the year 2019. Panels (a) to (l) are maps of the monthly mean of daily max temperature from January to December. Temperature data is obtained from the IMD via the Python package “IMDLIB”.</w:t>
      </w:r>
    </w:p>
    <w:p w14:paraId="652CF087" w14:textId="77777777" w:rsidR="006C4F12" w:rsidRDefault="006C4F12">
      <w:pPr>
        <w:ind w:left="720"/>
        <w:rPr>
          <w:b/>
        </w:rPr>
      </w:pPr>
    </w:p>
    <w:p w14:paraId="081450F3" w14:textId="183AAE66" w:rsidR="006C4F12" w:rsidRDefault="00EB23DA">
      <w:pPr>
        <w:rPr>
          <w:b/>
        </w:rPr>
      </w:pPr>
      <w:r>
        <w:rPr>
          <w:b/>
        </w:rPr>
        <w:t>A.</w:t>
      </w:r>
      <w:r w:rsidR="005C6694">
        <w:rPr>
          <w:b/>
        </w:rPr>
        <w:t>6</w:t>
      </w:r>
      <w:r>
        <w:rPr>
          <w:b/>
        </w:rPr>
        <w:t xml:space="preserve"> GEE modeling results for Table </w:t>
      </w:r>
      <w:r w:rsidR="00FC2A8A">
        <w:rPr>
          <w:b/>
        </w:rPr>
        <w:t>1</w:t>
      </w:r>
      <w:r>
        <w:rPr>
          <w:b/>
        </w:rPr>
        <w:t xml:space="preserve"> with AR (1) error covariance structure</w:t>
      </w:r>
    </w:p>
    <w:p w14:paraId="0E722EF5" w14:textId="77777777" w:rsidR="006C4F12" w:rsidRDefault="006C4F12">
      <w:pPr>
        <w:rPr>
          <w:b/>
        </w:rPr>
      </w:pPr>
    </w:p>
    <w:p w14:paraId="4D8014B7" w14:textId="77777777" w:rsidR="006C4F12" w:rsidRDefault="006C4F12">
      <w:pPr>
        <w:rPr>
          <w:b/>
        </w:rPr>
      </w:pPr>
    </w:p>
    <w:tbl>
      <w:tblPr>
        <w:tblStyle w:val="a1"/>
        <w:tblW w:w="10380" w:type="dxa"/>
        <w:tblInd w:w="-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710"/>
        <w:gridCol w:w="780"/>
        <w:gridCol w:w="960"/>
        <w:gridCol w:w="1635"/>
        <w:gridCol w:w="765"/>
        <w:gridCol w:w="885"/>
        <w:gridCol w:w="885"/>
        <w:gridCol w:w="1185"/>
      </w:tblGrid>
      <w:tr w:rsidR="006C4F12" w14:paraId="3FE74C02" w14:textId="77777777">
        <w:trPr>
          <w:trHeight w:val="420"/>
        </w:trPr>
        <w:tc>
          <w:tcPr>
            <w:tcW w:w="1575" w:type="dxa"/>
            <w:shd w:val="clear" w:color="auto" w:fill="auto"/>
            <w:tcMar>
              <w:top w:w="100" w:type="dxa"/>
              <w:left w:w="100" w:type="dxa"/>
              <w:bottom w:w="100" w:type="dxa"/>
              <w:right w:w="100" w:type="dxa"/>
            </w:tcMar>
            <w:vAlign w:val="center"/>
          </w:tcPr>
          <w:p w14:paraId="45A794A9" w14:textId="77777777" w:rsidR="006C4F12" w:rsidRDefault="006C4F12">
            <w:pPr>
              <w:widowControl w:val="0"/>
              <w:spacing w:line="240" w:lineRule="auto"/>
              <w:jc w:val="center"/>
              <w:rPr>
                <w:b/>
              </w:rPr>
            </w:pPr>
          </w:p>
        </w:tc>
        <w:tc>
          <w:tcPr>
            <w:tcW w:w="3450" w:type="dxa"/>
            <w:gridSpan w:val="3"/>
            <w:shd w:val="clear" w:color="auto" w:fill="auto"/>
            <w:tcMar>
              <w:top w:w="100" w:type="dxa"/>
              <w:left w:w="100" w:type="dxa"/>
              <w:bottom w:w="100" w:type="dxa"/>
              <w:right w:w="100" w:type="dxa"/>
            </w:tcMar>
            <w:vAlign w:val="center"/>
          </w:tcPr>
          <w:p w14:paraId="48FEEB9D" w14:textId="77777777" w:rsidR="006C4F12" w:rsidRDefault="00827A53">
            <w:pPr>
              <w:widowControl w:val="0"/>
              <w:spacing w:line="240" w:lineRule="auto"/>
              <w:jc w:val="center"/>
              <w:rPr>
                <w:b/>
                <w:sz w:val="18"/>
                <w:szCs w:val="18"/>
              </w:rPr>
            </w:pPr>
            <w:r>
              <w:rPr>
                <w:b/>
                <w:sz w:val="18"/>
                <w:szCs w:val="18"/>
              </w:rPr>
              <w:t>Male-specific Model</w:t>
            </w:r>
          </w:p>
        </w:tc>
        <w:tc>
          <w:tcPr>
            <w:tcW w:w="3285" w:type="dxa"/>
            <w:gridSpan w:val="3"/>
            <w:shd w:val="clear" w:color="auto" w:fill="auto"/>
            <w:tcMar>
              <w:top w:w="100" w:type="dxa"/>
              <w:left w:w="100" w:type="dxa"/>
              <w:bottom w:w="100" w:type="dxa"/>
              <w:right w:w="100" w:type="dxa"/>
            </w:tcMar>
            <w:vAlign w:val="center"/>
          </w:tcPr>
          <w:p w14:paraId="76A1C62A" w14:textId="77777777" w:rsidR="006C4F12" w:rsidRDefault="00827A53">
            <w:pPr>
              <w:widowControl w:val="0"/>
              <w:spacing w:line="240" w:lineRule="auto"/>
              <w:jc w:val="center"/>
              <w:rPr>
                <w:b/>
                <w:sz w:val="18"/>
                <w:szCs w:val="18"/>
              </w:rPr>
            </w:pPr>
            <w:r>
              <w:rPr>
                <w:b/>
                <w:sz w:val="18"/>
                <w:szCs w:val="18"/>
              </w:rPr>
              <w:t>Female-specific Model</w:t>
            </w:r>
          </w:p>
        </w:tc>
        <w:tc>
          <w:tcPr>
            <w:tcW w:w="2070" w:type="dxa"/>
            <w:gridSpan w:val="2"/>
            <w:shd w:val="clear" w:color="auto" w:fill="auto"/>
            <w:tcMar>
              <w:top w:w="100" w:type="dxa"/>
              <w:left w:w="100" w:type="dxa"/>
              <w:bottom w:w="100" w:type="dxa"/>
              <w:right w:w="100" w:type="dxa"/>
            </w:tcMar>
            <w:vAlign w:val="center"/>
          </w:tcPr>
          <w:p w14:paraId="373C3B2F" w14:textId="77777777" w:rsidR="006C4F12" w:rsidRDefault="00827A53">
            <w:pPr>
              <w:widowControl w:val="0"/>
              <w:spacing w:line="240" w:lineRule="auto"/>
              <w:jc w:val="center"/>
              <w:rPr>
                <w:b/>
                <w:sz w:val="18"/>
                <w:szCs w:val="18"/>
              </w:rPr>
            </w:pPr>
            <w:r>
              <w:rPr>
                <w:b/>
                <w:sz w:val="18"/>
                <w:szCs w:val="18"/>
              </w:rPr>
              <w:t xml:space="preserve">Hypothesis Testing for </w:t>
            </w:r>
          </w:p>
          <w:p w14:paraId="1CB75291" w14:textId="77777777" w:rsidR="006C4F12" w:rsidRDefault="00827A53">
            <w:pPr>
              <w:widowControl w:val="0"/>
              <w:spacing w:line="240" w:lineRule="auto"/>
              <w:jc w:val="center"/>
              <w:rPr>
                <w:b/>
                <w:sz w:val="18"/>
                <w:szCs w:val="18"/>
              </w:rPr>
            </w:pPr>
            <w:r>
              <w:rPr>
                <w:b/>
                <w:sz w:val="18"/>
                <w:szCs w:val="18"/>
              </w:rPr>
              <w:t>Coefficient Equality between Males and Females</w:t>
            </w:r>
          </w:p>
        </w:tc>
      </w:tr>
      <w:tr w:rsidR="006C4F12" w14:paraId="4D9A17FA" w14:textId="77777777">
        <w:tc>
          <w:tcPr>
            <w:tcW w:w="1575" w:type="dxa"/>
            <w:shd w:val="clear" w:color="auto" w:fill="auto"/>
            <w:tcMar>
              <w:top w:w="100" w:type="dxa"/>
              <w:left w:w="100" w:type="dxa"/>
              <w:bottom w:w="100" w:type="dxa"/>
              <w:right w:w="100" w:type="dxa"/>
            </w:tcMar>
            <w:vAlign w:val="center"/>
          </w:tcPr>
          <w:p w14:paraId="275BBF92" w14:textId="77777777" w:rsidR="006C4F12" w:rsidRDefault="00827A53">
            <w:pPr>
              <w:widowControl w:val="0"/>
              <w:spacing w:line="240" w:lineRule="auto"/>
              <w:jc w:val="center"/>
              <w:rPr>
                <w:b/>
                <w:sz w:val="18"/>
                <w:szCs w:val="18"/>
              </w:rPr>
            </w:pPr>
            <w:r>
              <w:rPr>
                <w:b/>
                <w:sz w:val="18"/>
                <w:szCs w:val="18"/>
              </w:rPr>
              <w:t>Variables</w:t>
            </w:r>
          </w:p>
        </w:tc>
        <w:tc>
          <w:tcPr>
            <w:tcW w:w="1710" w:type="dxa"/>
            <w:shd w:val="clear" w:color="auto" w:fill="auto"/>
            <w:tcMar>
              <w:top w:w="100" w:type="dxa"/>
              <w:left w:w="100" w:type="dxa"/>
              <w:bottom w:w="100" w:type="dxa"/>
              <w:right w:w="100" w:type="dxa"/>
            </w:tcMar>
            <w:vAlign w:val="center"/>
          </w:tcPr>
          <w:p w14:paraId="05D10B86" w14:textId="77777777" w:rsidR="006C4F12" w:rsidRDefault="00827A53">
            <w:pPr>
              <w:widowControl w:val="0"/>
              <w:spacing w:line="240" w:lineRule="auto"/>
              <w:jc w:val="center"/>
              <w:rPr>
                <w:b/>
                <w:sz w:val="18"/>
                <w:szCs w:val="18"/>
              </w:rPr>
            </w:pPr>
            <m:oMath>
              <m:acc>
                <m:accPr>
                  <m:ctrlPr>
                    <w:rPr>
                      <w:rFonts w:ascii="Cambria Math" w:hAnsi="Cambria Math"/>
                    </w:rPr>
                  </m:ctrlPr>
                </m:accPr>
                <m:e>
                  <m:r>
                    <w:rPr>
                      <w:rFonts w:ascii="Cambria Math" w:hAnsi="Cambria Math"/>
                    </w:rPr>
                    <m:t>β</m:t>
                  </m:r>
                </m:e>
              </m:acc>
            </m:oMath>
            <w:r>
              <w:rPr>
                <w:b/>
                <w:sz w:val="18"/>
                <w:szCs w:val="18"/>
              </w:rPr>
              <w:t xml:space="preserve">  estimate</w:t>
            </w:r>
          </w:p>
          <w:p w14:paraId="3FB3D218" w14:textId="77777777" w:rsidR="006C4F12" w:rsidRDefault="00827A53">
            <w:pPr>
              <w:widowControl w:val="0"/>
              <w:spacing w:line="240" w:lineRule="auto"/>
              <w:jc w:val="center"/>
              <w:rPr>
                <w:b/>
                <w:sz w:val="18"/>
                <w:szCs w:val="18"/>
              </w:rPr>
            </w:pPr>
            <w:r>
              <w:rPr>
                <w:b/>
                <w:sz w:val="18"/>
                <w:szCs w:val="18"/>
              </w:rPr>
              <w:t>(95% CI)</w:t>
            </w:r>
          </w:p>
        </w:tc>
        <w:tc>
          <w:tcPr>
            <w:tcW w:w="780" w:type="dxa"/>
            <w:shd w:val="clear" w:color="auto" w:fill="auto"/>
            <w:tcMar>
              <w:top w:w="100" w:type="dxa"/>
              <w:left w:w="100" w:type="dxa"/>
              <w:bottom w:w="100" w:type="dxa"/>
              <w:right w:w="100" w:type="dxa"/>
            </w:tcMar>
            <w:vAlign w:val="center"/>
          </w:tcPr>
          <w:p w14:paraId="708FC852" w14:textId="77777777" w:rsidR="006C4F12" w:rsidRDefault="00827A53">
            <w:pPr>
              <w:widowControl w:val="0"/>
              <w:spacing w:line="240" w:lineRule="auto"/>
              <w:jc w:val="center"/>
              <w:rPr>
                <w:b/>
                <w:sz w:val="18"/>
                <w:szCs w:val="18"/>
              </w:rPr>
            </w:pPr>
            <w:r>
              <w:rPr>
                <w:b/>
                <w:sz w:val="18"/>
                <w:szCs w:val="18"/>
              </w:rPr>
              <w:t>Std. Error</w:t>
            </w:r>
          </w:p>
        </w:tc>
        <w:tc>
          <w:tcPr>
            <w:tcW w:w="960" w:type="dxa"/>
            <w:shd w:val="clear" w:color="auto" w:fill="auto"/>
            <w:tcMar>
              <w:top w:w="100" w:type="dxa"/>
              <w:left w:w="100" w:type="dxa"/>
              <w:bottom w:w="100" w:type="dxa"/>
              <w:right w:w="100" w:type="dxa"/>
            </w:tcMar>
            <w:vAlign w:val="center"/>
          </w:tcPr>
          <w:p w14:paraId="5704D751" w14:textId="77777777" w:rsidR="006C4F12" w:rsidRDefault="00827A53">
            <w:pPr>
              <w:widowControl w:val="0"/>
              <w:spacing w:line="240" w:lineRule="auto"/>
              <w:jc w:val="center"/>
              <w:rPr>
                <w:b/>
                <w:sz w:val="18"/>
                <w:szCs w:val="18"/>
              </w:rPr>
            </w:pPr>
            <w:r>
              <w:rPr>
                <w:b/>
                <w:sz w:val="18"/>
                <w:szCs w:val="18"/>
              </w:rPr>
              <w:t>p-value</w:t>
            </w:r>
          </w:p>
        </w:tc>
        <w:tc>
          <w:tcPr>
            <w:tcW w:w="1635" w:type="dxa"/>
            <w:shd w:val="clear" w:color="auto" w:fill="auto"/>
            <w:tcMar>
              <w:top w:w="100" w:type="dxa"/>
              <w:left w:w="100" w:type="dxa"/>
              <w:bottom w:w="100" w:type="dxa"/>
              <w:right w:w="100" w:type="dxa"/>
            </w:tcMar>
            <w:vAlign w:val="center"/>
          </w:tcPr>
          <w:p w14:paraId="6FC51D0F" w14:textId="77777777" w:rsidR="006C4F12" w:rsidRDefault="00827A53">
            <w:pPr>
              <w:widowControl w:val="0"/>
              <w:spacing w:line="240" w:lineRule="auto"/>
              <w:jc w:val="center"/>
              <w:rPr>
                <w:b/>
                <w:sz w:val="18"/>
                <w:szCs w:val="18"/>
              </w:rPr>
            </w:pPr>
            <m:oMath>
              <m:acc>
                <m:accPr>
                  <m:ctrlPr>
                    <w:rPr>
                      <w:rFonts w:ascii="Cambria Math" w:hAnsi="Cambria Math"/>
                    </w:rPr>
                  </m:ctrlPr>
                </m:accPr>
                <m:e>
                  <m:r>
                    <w:rPr>
                      <w:rFonts w:ascii="Cambria Math" w:hAnsi="Cambria Math"/>
                    </w:rPr>
                    <m:t>β</m:t>
                  </m:r>
                </m:e>
              </m:acc>
            </m:oMath>
            <w:r>
              <w:rPr>
                <w:b/>
                <w:sz w:val="18"/>
                <w:szCs w:val="18"/>
              </w:rPr>
              <w:t xml:space="preserve">  estimate</w:t>
            </w:r>
          </w:p>
          <w:p w14:paraId="77F8B218" w14:textId="77777777" w:rsidR="006C4F12" w:rsidRDefault="00827A53">
            <w:pPr>
              <w:widowControl w:val="0"/>
              <w:spacing w:line="240" w:lineRule="auto"/>
              <w:jc w:val="center"/>
              <w:rPr>
                <w:b/>
                <w:sz w:val="18"/>
                <w:szCs w:val="18"/>
              </w:rPr>
            </w:pPr>
            <w:r>
              <w:rPr>
                <w:b/>
                <w:sz w:val="18"/>
                <w:szCs w:val="18"/>
              </w:rPr>
              <w:t>(95% CI)</w:t>
            </w:r>
          </w:p>
        </w:tc>
        <w:tc>
          <w:tcPr>
            <w:tcW w:w="765" w:type="dxa"/>
            <w:shd w:val="clear" w:color="auto" w:fill="auto"/>
            <w:tcMar>
              <w:top w:w="100" w:type="dxa"/>
              <w:left w:w="100" w:type="dxa"/>
              <w:bottom w:w="100" w:type="dxa"/>
              <w:right w:w="100" w:type="dxa"/>
            </w:tcMar>
            <w:vAlign w:val="center"/>
          </w:tcPr>
          <w:p w14:paraId="1AD54745" w14:textId="77777777" w:rsidR="006C4F12" w:rsidRDefault="00827A53">
            <w:pPr>
              <w:widowControl w:val="0"/>
              <w:spacing w:line="240" w:lineRule="auto"/>
              <w:jc w:val="center"/>
              <w:rPr>
                <w:b/>
                <w:sz w:val="18"/>
                <w:szCs w:val="18"/>
              </w:rPr>
            </w:pPr>
            <w:r>
              <w:rPr>
                <w:b/>
                <w:sz w:val="18"/>
                <w:szCs w:val="18"/>
              </w:rPr>
              <w:t>Std. Error</w:t>
            </w:r>
          </w:p>
        </w:tc>
        <w:tc>
          <w:tcPr>
            <w:tcW w:w="885" w:type="dxa"/>
            <w:shd w:val="clear" w:color="auto" w:fill="auto"/>
            <w:tcMar>
              <w:top w:w="100" w:type="dxa"/>
              <w:left w:w="100" w:type="dxa"/>
              <w:bottom w:w="100" w:type="dxa"/>
              <w:right w:w="100" w:type="dxa"/>
            </w:tcMar>
            <w:vAlign w:val="center"/>
          </w:tcPr>
          <w:p w14:paraId="031BE1FC" w14:textId="77777777" w:rsidR="006C4F12" w:rsidRDefault="00827A53">
            <w:pPr>
              <w:widowControl w:val="0"/>
              <w:spacing w:line="240" w:lineRule="auto"/>
              <w:jc w:val="center"/>
              <w:rPr>
                <w:b/>
                <w:sz w:val="18"/>
                <w:szCs w:val="18"/>
              </w:rPr>
            </w:pPr>
            <w:r>
              <w:rPr>
                <w:b/>
                <w:sz w:val="18"/>
                <w:szCs w:val="18"/>
              </w:rPr>
              <w:t>p-value</w:t>
            </w:r>
          </w:p>
        </w:tc>
        <w:tc>
          <w:tcPr>
            <w:tcW w:w="885" w:type="dxa"/>
            <w:shd w:val="clear" w:color="auto" w:fill="auto"/>
            <w:tcMar>
              <w:top w:w="100" w:type="dxa"/>
              <w:left w:w="100" w:type="dxa"/>
              <w:bottom w:w="100" w:type="dxa"/>
              <w:right w:w="100" w:type="dxa"/>
            </w:tcMar>
            <w:vAlign w:val="center"/>
          </w:tcPr>
          <w:p w14:paraId="5FB931B3" w14:textId="77777777" w:rsidR="006C4F12" w:rsidRDefault="00827A53">
            <w:pPr>
              <w:widowControl w:val="0"/>
              <w:spacing w:line="240" w:lineRule="auto"/>
              <w:jc w:val="center"/>
              <w:rPr>
                <w:b/>
                <w:sz w:val="18"/>
                <w:szCs w:val="18"/>
              </w:rPr>
            </w:pPr>
            <w:r>
              <w:rPr>
                <w:b/>
                <w:sz w:val="18"/>
                <w:szCs w:val="18"/>
              </w:rPr>
              <w:t>Z-score</w:t>
            </w:r>
          </w:p>
        </w:tc>
        <w:tc>
          <w:tcPr>
            <w:tcW w:w="1185" w:type="dxa"/>
            <w:shd w:val="clear" w:color="auto" w:fill="auto"/>
            <w:tcMar>
              <w:top w:w="100" w:type="dxa"/>
              <w:left w:w="100" w:type="dxa"/>
              <w:bottom w:w="100" w:type="dxa"/>
              <w:right w:w="100" w:type="dxa"/>
            </w:tcMar>
            <w:vAlign w:val="center"/>
          </w:tcPr>
          <w:p w14:paraId="5EB47FDD" w14:textId="77777777" w:rsidR="006C4F12" w:rsidRDefault="00827A53">
            <w:pPr>
              <w:widowControl w:val="0"/>
              <w:spacing w:line="240" w:lineRule="auto"/>
              <w:jc w:val="center"/>
              <w:rPr>
                <w:b/>
                <w:sz w:val="18"/>
                <w:szCs w:val="18"/>
              </w:rPr>
            </w:pPr>
            <w:r>
              <w:rPr>
                <w:b/>
                <w:sz w:val="18"/>
                <w:szCs w:val="18"/>
              </w:rPr>
              <w:t>p-value</w:t>
            </w:r>
          </w:p>
        </w:tc>
      </w:tr>
      <w:tr w:rsidR="006C4F12" w14:paraId="23E1987A" w14:textId="77777777">
        <w:tc>
          <w:tcPr>
            <w:tcW w:w="1575" w:type="dxa"/>
            <w:shd w:val="clear" w:color="auto" w:fill="auto"/>
            <w:tcMar>
              <w:top w:w="100" w:type="dxa"/>
              <w:left w:w="100" w:type="dxa"/>
              <w:bottom w:w="100" w:type="dxa"/>
              <w:right w:w="100" w:type="dxa"/>
            </w:tcMar>
            <w:vAlign w:val="center"/>
          </w:tcPr>
          <w:p w14:paraId="2B96B1BB" w14:textId="77777777" w:rsidR="006C4F12" w:rsidRDefault="00827A53">
            <w:pPr>
              <w:widowControl w:val="0"/>
              <w:spacing w:line="240" w:lineRule="auto"/>
              <w:jc w:val="center"/>
              <w:rPr>
                <w:b/>
                <w:color w:val="C00000"/>
                <w:sz w:val="18"/>
                <w:szCs w:val="18"/>
              </w:rPr>
            </w:pPr>
            <w:r>
              <w:rPr>
                <w:b/>
                <w:color w:val="C00000"/>
                <w:sz w:val="18"/>
                <w:szCs w:val="18"/>
              </w:rPr>
              <w:t>Summer Max Temperature</w:t>
            </w:r>
          </w:p>
        </w:tc>
        <w:tc>
          <w:tcPr>
            <w:tcW w:w="1710" w:type="dxa"/>
            <w:shd w:val="clear" w:color="auto" w:fill="auto"/>
            <w:tcMar>
              <w:top w:w="100" w:type="dxa"/>
              <w:left w:w="100" w:type="dxa"/>
              <w:bottom w:w="100" w:type="dxa"/>
              <w:right w:w="100" w:type="dxa"/>
            </w:tcMar>
            <w:vAlign w:val="center"/>
          </w:tcPr>
          <w:p w14:paraId="4F2D1997" w14:textId="77777777" w:rsidR="006C4F12" w:rsidRPr="00715E9D" w:rsidRDefault="00827A53">
            <w:pPr>
              <w:widowControl w:val="0"/>
              <w:spacing w:line="240" w:lineRule="auto"/>
              <w:jc w:val="center"/>
              <w:rPr>
                <w:sz w:val="18"/>
                <w:szCs w:val="18"/>
              </w:rPr>
            </w:pPr>
            <w:r w:rsidRPr="00715E9D">
              <w:rPr>
                <w:sz w:val="18"/>
                <w:szCs w:val="18"/>
              </w:rPr>
              <w:t>-0.13</w:t>
            </w:r>
          </w:p>
          <w:p w14:paraId="103B9AB6" w14:textId="77777777" w:rsidR="006C4F12" w:rsidRPr="00715E9D" w:rsidRDefault="00827A53">
            <w:pPr>
              <w:widowControl w:val="0"/>
              <w:spacing w:line="240" w:lineRule="auto"/>
              <w:jc w:val="center"/>
              <w:rPr>
                <w:sz w:val="18"/>
                <w:szCs w:val="18"/>
              </w:rPr>
            </w:pPr>
            <w:r w:rsidRPr="00715E9D">
              <w:rPr>
                <w:sz w:val="18"/>
                <w:szCs w:val="18"/>
              </w:rPr>
              <w:t>[-0.22, 0.035]</w:t>
            </w:r>
          </w:p>
        </w:tc>
        <w:tc>
          <w:tcPr>
            <w:tcW w:w="780" w:type="dxa"/>
            <w:shd w:val="clear" w:color="auto" w:fill="auto"/>
            <w:tcMar>
              <w:top w:w="100" w:type="dxa"/>
              <w:left w:w="100" w:type="dxa"/>
              <w:bottom w:w="100" w:type="dxa"/>
              <w:right w:w="100" w:type="dxa"/>
            </w:tcMar>
            <w:vAlign w:val="center"/>
          </w:tcPr>
          <w:p w14:paraId="59AAFE53" w14:textId="77777777" w:rsidR="006C4F12" w:rsidRDefault="00827A53">
            <w:pPr>
              <w:widowControl w:val="0"/>
              <w:spacing w:line="240" w:lineRule="auto"/>
              <w:jc w:val="center"/>
              <w:rPr>
                <w:sz w:val="18"/>
                <w:szCs w:val="18"/>
              </w:rPr>
            </w:pPr>
            <w:r>
              <w:rPr>
                <w:sz w:val="18"/>
                <w:szCs w:val="18"/>
              </w:rPr>
              <w:t>0.048</w:t>
            </w:r>
          </w:p>
        </w:tc>
        <w:tc>
          <w:tcPr>
            <w:tcW w:w="960" w:type="dxa"/>
            <w:shd w:val="clear" w:color="auto" w:fill="auto"/>
            <w:tcMar>
              <w:top w:w="100" w:type="dxa"/>
              <w:left w:w="100" w:type="dxa"/>
              <w:bottom w:w="100" w:type="dxa"/>
              <w:right w:w="100" w:type="dxa"/>
            </w:tcMar>
            <w:vAlign w:val="center"/>
          </w:tcPr>
          <w:p w14:paraId="0FEB9790" w14:textId="77777777" w:rsidR="006C4F12" w:rsidRDefault="00827A53">
            <w:pPr>
              <w:widowControl w:val="0"/>
              <w:spacing w:line="240" w:lineRule="auto"/>
              <w:jc w:val="center"/>
              <w:rPr>
                <w:sz w:val="18"/>
                <w:szCs w:val="18"/>
              </w:rPr>
            </w:pPr>
            <w:r>
              <w:rPr>
                <w:sz w:val="18"/>
                <w:szCs w:val="18"/>
              </w:rPr>
              <w:t>0.0074**</w:t>
            </w:r>
          </w:p>
        </w:tc>
        <w:tc>
          <w:tcPr>
            <w:tcW w:w="1635" w:type="dxa"/>
            <w:shd w:val="clear" w:color="auto" w:fill="auto"/>
            <w:tcMar>
              <w:top w:w="100" w:type="dxa"/>
              <w:left w:w="100" w:type="dxa"/>
              <w:bottom w:w="100" w:type="dxa"/>
              <w:right w:w="100" w:type="dxa"/>
            </w:tcMar>
            <w:vAlign w:val="center"/>
          </w:tcPr>
          <w:p w14:paraId="5C2227E2" w14:textId="77777777" w:rsidR="006C4F12" w:rsidRDefault="00827A53">
            <w:pPr>
              <w:widowControl w:val="0"/>
              <w:spacing w:line="240" w:lineRule="auto"/>
              <w:jc w:val="center"/>
              <w:rPr>
                <w:sz w:val="18"/>
                <w:szCs w:val="18"/>
              </w:rPr>
            </w:pPr>
            <w:r>
              <w:rPr>
                <w:sz w:val="18"/>
                <w:szCs w:val="18"/>
              </w:rPr>
              <w:t>0.045</w:t>
            </w:r>
          </w:p>
          <w:p w14:paraId="2560E843" w14:textId="77777777" w:rsidR="006C4F12" w:rsidRDefault="00827A53">
            <w:pPr>
              <w:widowControl w:val="0"/>
              <w:spacing w:line="240" w:lineRule="auto"/>
              <w:jc w:val="center"/>
              <w:rPr>
                <w:sz w:val="18"/>
                <w:szCs w:val="18"/>
              </w:rPr>
            </w:pPr>
            <w:r>
              <w:rPr>
                <w:sz w:val="18"/>
                <w:szCs w:val="18"/>
              </w:rPr>
              <w:t xml:space="preserve"> [-0.0031, 0.093]</w:t>
            </w:r>
          </w:p>
        </w:tc>
        <w:tc>
          <w:tcPr>
            <w:tcW w:w="765" w:type="dxa"/>
            <w:shd w:val="clear" w:color="auto" w:fill="auto"/>
            <w:tcMar>
              <w:top w:w="100" w:type="dxa"/>
              <w:left w:w="100" w:type="dxa"/>
              <w:bottom w:w="100" w:type="dxa"/>
              <w:right w:w="100" w:type="dxa"/>
            </w:tcMar>
            <w:vAlign w:val="center"/>
          </w:tcPr>
          <w:p w14:paraId="11BB200B" w14:textId="77777777" w:rsidR="006C4F12" w:rsidRDefault="00827A53">
            <w:pPr>
              <w:widowControl w:val="0"/>
              <w:spacing w:line="240" w:lineRule="auto"/>
              <w:jc w:val="center"/>
              <w:rPr>
                <w:sz w:val="18"/>
                <w:szCs w:val="18"/>
              </w:rPr>
            </w:pPr>
            <w:r>
              <w:rPr>
                <w:sz w:val="18"/>
                <w:szCs w:val="18"/>
              </w:rPr>
              <w:t>0.024</w:t>
            </w:r>
          </w:p>
        </w:tc>
        <w:tc>
          <w:tcPr>
            <w:tcW w:w="885" w:type="dxa"/>
            <w:shd w:val="clear" w:color="auto" w:fill="auto"/>
            <w:tcMar>
              <w:top w:w="100" w:type="dxa"/>
              <w:left w:w="100" w:type="dxa"/>
              <w:bottom w:w="100" w:type="dxa"/>
              <w:right w:w="100" w:type="dxa"/>
            </w:tcMar>
            <w:vAlign w:val="center"/>
          </w:tcPr>
          <w:p w14:paraId="52C90755" w14:textId="77777777" w:rsidR="006C4F12" w:rsidRDefault="00827A53">
            <w:pPr>
              <w:widowControl w:val="0"/>
              <w:spacing w:line="240" w:lineRule="auto"/>
              <w:jc w:val="center"/>
              <w:rPr>
                <w:sz w:val="18"/>
                <w:szCs w:val="18"/>
              </w:rPr>
            </w:pPr>
            <w:r>
              <w:rPr>
                <w:sz w:val="18"/>
                <w:szCs w:val="18"/>
              </w:rPr>
              <w:t>0.067.</w:t>
            </w:r>
          </w:p>
        </w:tc>
        <w:tc>
          <w:tcPr>
            <w:tcW w:w="885" w:type="dxa"/>
            <w:shd w:val="clear" w:color="auto" w:fill="auto"/>
            <w:tcMar>
              <w:top w:w="100" w:type="dxa"/>
              <w:left w:w="100" w:type="dxa"/>
              <w:bottom w:w="100" w:type="dxa"/>
              <w:right w:w="100" w:type="dxa"/>
            </w:tcMar>
            <w:vAlign w:val="center"/>
          </w:tcPr>
          <w:p w14:paraId="052B30B5" w14:textId="77777777" w:rsidR="006C4F12" w:rsidRDefault="00827A53">
            <w:pPr>
              <w:widowControl w:val="0"/>
              <w:spacing w:line="240" w:lineRule="auto"/>
              <w:jc w:val="center"/>
              <w:rPr>
                <w:sz w:val="18"/>
                <w:szCs w:val="18"/>
              </w:rPr>
            </w:pPr>
            <w:r>
              <w:rPr>
                <w:sz w:val="18"/>
                <w:szCs w:val="18"/>
              </w:rPr>
              <w:t>-3.22</w:t>
            </w:r>
          </w:p>
        </w:tc>
        <w:tc>
          <w:tcPr>
            <w:tcW w:w="1185" w:type="dxa"/>
            <w:shd w:val="clear" w:color="auto" w:fill="auto"/>
            <w:tcMar>
              <w:top w:w="100" w:type="dxa"/>
              <w:left w:w="100" w:type="dxa"/>
              <w:bottom w:w="100" w:type="dxa"/>
              <w:right w:w="100" w:type="dxa"/>
            </w:tcMar>
            <w:vAlign w:val="center"/>
          </w:tcPr>
          <w:p w14:paraId="64F847A6" w14:textId="77777777" w:rsidR="006C4F12" w:rsidRDefault="00827A53">
            <w:pPr>
              <w:widowControl w:val="0"/>
              <w:spacing w:line="240" w:lineRule="auto"/>
              <w:jc w:val="center"/>
              <w:rPr>
                <w:color w:val="C00000"/>
                <w:sz w:val="18"/>
                <w:szCs w:val="18"/>
              </w:rPr>
            </w:pPr>
            <w:r>
              <w:rPr>
                <w:color w:val="C00000"/>
                <w:sz w:val="18"/>
                <w:szCs w:val="18"/>
              </w:rPr>
              <w:t>0.0013**</w:t>
            </w:r>
          </w:p>
        </w:tc>
      </w:tr>
      <w:tr w:rsidR="006C4F12" w14:paraId="38BABA7C" w14:textId="77777777">
        <w:tc>
          <w:tcPr>
            <w:tcW w:w="1575" w:type="dxa"/>
            <w:shd w:val="clear" w:color="auto" w:fill="auto"/>
            <w:tcMar>
              <w:top w:w="100" w:type="dxa"/>
              <w:left w:w="100" w:type="dxa"/>
              <w:bottom w:w="100" w:type="dxa"/>
              <w:right w:w="100" w:type="dxa"/>
            </w:tcMar>
            <w:vAlign w:val="center"/>
          </w:tcPr>
          <w:p w14:paraId="20A34CC0" w14:textId="77777777" w:rsidR="006C4F12" w:rsidRDefault="00827A53">
            <w:pPr>
              <w:widowControl w:val="0"/>
              <w:spacing w:line="240" w:lineRule="auto"/>
              <w:jc w:val="center"/>
              <w:rPr>
                <w:b/>
                <w:color w:val="C00000"/>
                <w:sz w:val="18"/>
                <w:szCs w:val="18"/>
              </w:rPr>
            </w:pPr>
            <w:r>
              <w:rPr>
                <w:b/>
                <w:color w:val="C00000"/>
                <w:sz w:val="18"/>
                <w:szCs w:val="18"/>
              </w:rPr>
              <w:t>Summer Mean Temperature</w:t>
            </w:r>
          </w:p>
        </w:tc>
        <w:tc>
          <w:tcPr>
            <w:tcW w:w="1710" w:type="dxa"/>
            <w:shd w:val="clear" w:color="auto" w:fill="auto"/>
            <w:tcMar>
              <w:top w:w="100" w:type="dxa"/>
              <w:left w:w="100" w:type="dxa"/>
              <w:bottom w:w="100" w:type="dxa"/>
              <w:right w:w="100" w:type="dxa"/>
            </w:tcMar>
            <w:vAlign w:val="center"/>
          </w:tcPr>
          <w:p w14:paraId="33C41FB7" w14:textId="77777777" w:rsidR="006C4F12" w:rsidRPr="00715E9D" w:rsidRDefault="00827A53">
            <w:pPr>
              <w:widowControl w:val="0"/>
              <w:spacing w:line="240" w:lineRule="auto"/>
              <w:jc w:val="center"/>
              <w:rPr>
                <w:sz w:val="18"/>
                <w:szCs w:val="18"/>
              </w:rPr>
            </w:pPr>
            <w:r w:rsidRPr="00715E9D">
              <w:rPr>
                <w:sz w:val="18"/>
                <w:szCs w:val="18"/>
              </w:rPr>
              <w:t>-0.16</w:t>
            </w:r>
          </w:p>
          <w:p w14:paraId="060191A4" w14:textId="77777777" w:rsidR="006C4F12" w:rsidRPr="00715E9D" w:rsidRDefault="00827A53">
            <w:pPr>
              <w:widowControl w:val="0"/>
              <w:spacing w:line="240" w:lineRule="auto"/>
              <w:jc w:val="center"/>
              <w:rPr>
                <w:sz w:val="18"/>
                <w:szCs w:val="18"/>
              </w:rPr>
            </w:pPr>
            <w:r w:rsidRPr="00715E9D">
              <w:rPr>
                <w:sz w:val="18"/>
                <w:szCs w:val="18"/>
              </w:rPr>
              <w:t>[-0.30, -0.019]</w:t>
            </w:r>
          </w:p>
        </w:tc>
        <w:tc>
          <w:tcPr>
            <w:tcW w:w="780" w:type="dxa"/>
            <w:shd w:val="clear" w:color="auto" w:fill="auto"/>
            <w:tcMar>
              <w:top w:w="100" w:type="dxa"/>
              <w:left w:w="100" w:type="dxa"/>
              <w:bottom w:w="100" w:type="dxa"/>
              <w:right w:w="100" w:type="dxa"/>
            </w:tcMar>
            <w:vAlign w:val="center"/>
          </w:tcPr>
          <w:p w14:paraId="053CF21C" w14:textId="77777777" w:rsidR="006C4F12" w:rsidRDefault="00827A53">
            <w:pPr>
              <w:widowControl w:val="0"/>
              <w:spacing w:line="240" w:lineRule="auto"/>
              <w:jc w:val="center"/>
              <w:rPr>
                <w:sz w:val="18"/>
                <w:szCs w:val="18"/>
              </w:rPr>
            </w:pPr>
            <w:r>
              <w:rPr>
                <w:sz w:val="18"/>
                <w:szCs w:val="18"/>
              </w:rPr>
              <w:t>0.072</w:t>
            </w:r>
          </w:p>
        </w:tc>
        <w:tc>
          <w:tcPr>
            <w:tcW w:w="960" w:type="dxa"/>
            <w:shd w:val="clear" w:color="auto" w:fill="auto"/>
            <w:tcMar>
              <w:top w:w="100" w:type="dxa"/>
              <w:left w:w="100" w:type="dxa"/>
              <w:bottom w:w="100" w:type="dxa"/>
              <w:right w:w="100" w:type="dxa"/>
            </w:tcMar>
            <w:vAlign w:val="center"/>
          </w:tcPr>
          <w:p w14:paraId="0E20D220" w14:textId="77777777" w:rsidR="006C4F12" w:rsidRDefault="00827A53">
            <w:pPr>
              <w:widowControl w:val="0"/>
              <w:spacing w:line="240" w:lineRule="auto"/>
              <w:jc w:val="center"/>
              <w:rPr>
                <w:sz w:val="18"/>
                <w:szCs w:val="18"/>
              </w:rPr>
            </w:pPr>
            <w:r>
              <w:rPr>
                <w:sz w:val="18"/>
                <w:szCs w:val="18"/>
              </w:rPr>
              <w:t>0.026*</w:t>
            </w:r>
          </w:p>
        </w:tc>
        <w:tc>
          <w:tcPr>
            <w:tcW w:w="1635" w:type="dxa"/>
            <w:shd w:val="clear" w:color="auto" w:fill="auto"/>
            <w:tcMar>
              <w:top w:w="100" w:type="dxa"/>
              <w:left w:w="100" w:type="dxa"/>
              <w:bottom w:w="100" w:type="dxa"/>
              <w:right w:w="100" w:type="dxa"/>
            </w:tcMar>
            <w:vAlign w:val="center"/>
          </w:tcPr>
          <w:p w14:paraId="1C29C0B6" w14:textId="77777777" w:rsidR="006C4F12" w:rsidRDefault="00827A53">
            <w:pPr>
              <w:widowControl w:val="0"/>
              <w:spacing w:line="240" w:lineRule="auto"/>
              <w:jc w:val="center"/>
              <w:rPr>
                <w:sz w:val="18"/>
                <w:szCs w:val="18"/>
              </w:rPr>
            </w:pPr>
            <w:r>
              <w:rPr>
                <w:sz w:val="18"/>
                <w:szCs w:val="18"/>
              </w:rPr>
              <w:t>0.065</w:t>
            </w:r>
          </w:p>
          <w:p w14:paraId="08D2CA9B" w14:textId="77777777" w:rsidR="006C4F12" w:rsidRDefault="00827A53">
            <w:pPr>
              <w:widowControl w:val="0"/>
              <w:spacing w:line="240" w:lineRule="auto"/>
              <w:jc w:val="center"/>
              <w:rPr>
                <w:sz w:val="18"/>
                <w:szCs w:val="18"/>
              </w:rPr>
            </w:pPr>
            <w:r>
              <w:rPr>
                <w:sz w:val="18"/>
                <w:szCs w:val="18"/>
              </w:rPr>
              <w:t>[0.0034, 0.13]</w:t>
            </w:r>
          </w:p>
        </w:tc>
        <w:tc>
          <w:tcPr>
            <w:tcW w:w="765" w:type="dxa"/>
            <w:shd w:val="clear" w:color="auto" w:fill="auto"/>
            <w:tcMar>
              <w:top w:w="100" w:type="dxa"/>
              <w:left w:w="100" w:type="dxa"/>
              <w:bottom w:w="100" w:type="dxa"/>
              <w:right w:w="100" w:type="dxa"/>
            </w:tcMar>
            <w:vAlign w:val="center"/>
          </w:tcPr>
          <w:p w14:paraId="19B35089" w14:textId="77777777" w:rsidR="006C4F12" w:rsidRDefault="00827A53">
            <w:pPr>
              <w:widowControl w:val="0"/>
              <w:spacing w:line="240" w:lineRule="auto"/>
              <w:jc w:val="center"/>
              <w:rPr>
                <w:sz w:val="18"/>
                <w:szCs w:val="18"/>
              </w:rPr>
            </w:pPr>
            <w:r>
              <w:rPr>
                <w:sz w:val="18"/>
                <w:szCs w:val="18"/>
              </w:rPr>
              <w:t>0.032</w:t>
            </w:r>
          </w:p>
        </w:tc>
        <w:tc>
          <w:tcPr>
            <w:tcW w:w="885" w:type="dxa"/>
            <w:shd w:val="clear" w:color="auto" w:fill="auto"/>
            <w:tcMar>
              <w:top w:w="100" w:type="dxa"/>
              <w:left w:w="100" w:type="dxa"/>
              <w:bottom w:w="100" w:type="dxa"/>
              <w:right w:w="100" w:type="dxa"/>
            </w:tcMar>
            <w:vAlign w:val="center"/>
          </w:tcPr>
          <w:p w14:paraId="0F256267" w14:textId="77777777" w:rsidR="006C4F12" w:rsidRDefault="00827A53">
            <w:pPr>
              <w:widowControl w:val="0"/>
              <w:spacing w:line="240" w:lineRule="auto"/>
              <w:jc w:val="center"/>
              <w:rPr>
                <w:sz w:val="18"/>
                <w:szCs w:val="18"/>
              </w:rPr>
            </w:pPr>
            <w:r>
              <w:rPr>
                <w:sz w:val="18"/>
                <w:szCs w:val="18"/>
              </w:rPr>
              <w:t>0.039*</w:t>
            </w:r>
          </w:p>
        </w:tc>
        <w:tc>
          <w:tcPr>
            <w:tcW w:w="885" w:type="dxa"/>
            <w:shd w:val="clear" w:color="auto" w:fill="auto"/>
            <w:tcMar>
              <w:top w:w="100" w:type="dxa"/>
              <w:left w:w="100" w:type="dxa"/>
              <w:bottom w:w="100" w:type="dxa"/>
              <w:right w:w="100" w:type="dxa"/>
            </w:tcMar>
            <w:vAlign w:val="center"/>
          </w:tcPr>
          <w:p w14:paraId="283CB999" w14:textId="77777777" w:rsidR="006C4F12" w:rsidRDefault="00827A53">
            <w:pPr>
              <w:widowControl w:val="0"/>
              <w:spacing w:line="240" w:lineRule="auto"/>
              <w:jc w:val="center"/>
              <w:rPr>
                <w:sz w:val="18"/>
                <w:szCs w:val="18"/>
              </w:rPr>
            </w:pPr>
            <w:r>
              <w:rPr>
                <w:sz w:val="18"/>
                <w:szCs w:val="18"/>
              </w:rPr>
              <w:t>-2.88</w:t>
            </w:r>
          </w:p>
        </w:tc>
        <w:tc>
          <w:tcPr>
            <w:tcW w:w="1185" w:type="dxa"/>
            <w:shd w:val="clear" w:color="auto" w:fill="auto"/>
            <w:tcMar>
              <w:top w:w="100" w:type="dxa"/>
              <w:left w:w="100" w:type="dxa"/>
              <w:bottom w:w="100" w:type="dxa"/>
              <w:right w:w="100" w:type="dxa"/>
            </w:tcMar>
            <w:vAlign w:val="center"/>
          </w:tcPr>
          <w:p w14:paraId="3CA8F48E" w14:textId="77777777" w:rsidR="006C4F12" w:rsidRDefault="00827A53">
            <w:pPr>
              <w:widowControl w:val="0"/>
              <w:spacing w:line="240" w:lineRule="auto"/>
              <w:jc w:val="center"/>
              <w:rPr>
                <w:color w:val="C00000"/>
                <w:sz w:val="18"/>
                <w:szCs w:val="18"/>
              </w:rPr>
            </w:pPr>
            <w:r>
              <w:rPr>
                <w:color w:val="C00000"/>
                <w:sz w:val="18"/>
                <w:szCs w:val="18"/>
              </w:rPr>
              <w:t>0.0040**</w:t>
            </w:r>
          </w:p>
        </w:tc>
      </w:tr>
      <w:tr w:rsidR="006C4F12" w14:paraId="01FD97FF" w14:textId="77777777">
        <w:tc>
          <w:tcPr>
            <w:tcW w:w="1575" w:type="dxa"/>
            <w:shd w:val="clear" w:color="auto" w:fill="auto"/>
            <w:tcMar>
              <w:top w:w="100" w:type="dxa"/>
              <w:left w:w="100" w:type="dxa"/>
              <w:bottom w:w="100" w:type="dxa"/>
              <w:right w:w="100" w:type="dxa"/>
            </w:tcMar>
            <w:vAlign w:val="center"/>
          </w:tcPr>
          <w:p w14:paraId="6E910B26" w14:textId="77777777" w:rsidR="006C4F12" w:rsidRDefault="00827A53">
            <w:pPr>
              <w:widowControl w:val="0"/>
              <w:spacing w:line="240" w:lineRule="auto"/>
              <w:jc w:val="center"/>
              <w:rPr>
                <w:b/>
                <w:sz w:val="18"/>
                <w:szCs w:val="18"/>
              </w:rPr>
            </w:pPr>
            <w:r>
              <w:rPr>
                <w:b/>
                <w:sz w:val="18"/>
                <w:szCs w:val="18"/>
              </w:rPr>
              <w:t>Winter Minimum Temperature</w:t>
            </w:r>
          </w:p>
        </w:tc>
        <w:tc>
          <w:tcPr>
            <w:tcW w:w="1710" w:type="dxa"/>
            <w:shd w:val="clear" w:color="auto" w:fill="auto"/>
            <w:tcMar>
              <w:top w:w="100" w:type="dxa"/>
              <w:left w:w="100" w:type="dxa"/>
              <w:bottom w:w="100" w:type="dxa"/>
              <w:right w:w="100" w:type="dxa"/>
            </w:tcMar>
            <w:vAlign w:val="center"/>
          </w:tcPr>
          <w:p w14:paraId="4D65A46B" w14:textId="77777777" w:rsidR="006C4F12" w:rsidRDefault="00827A53">
            <w:pPr>
              <w:widowControl w:val="0"/>
              <w:spacing w:line="240" w:lineRule="auto"/>
              <w:jc w:val="center"/>
              <w:rPr>
                <w:sz w:val="18"/>
                <w:szCs w:val="18"/>
              </w:rPr>
            </w:pPr>
            <w:r>
              <w:rPr>
                <w:sz w:val="18"/>
                <w:szCs w:val="18"/>
              </w:rPr>
              <w:t>-0.03</w:t>
            </w:r>
          </w:p>
          <w:p w14:paraId="4F618133" w14:textId="77777777" w:rsidR="006C4F12" w:rsidRDefault="00827A53">
            <w:pPr>
              <w:widowControl w:val="0"/>
              <w:spacing w:line="240" w:lineRule="auto"/>
              <w:jc w:val="center"/>
              <w:rPr>
                <w:sz w:val="18"/>
                <w:szCs w:val="18"/>
              </w:rPr>
            </w:pPr>
            <w:r>
              <w:rPr>
                <w:sz w:val="18"/>
                <w:szCs w:val="18"/>
              </w:rPr>
              <w:t>[-0.19, 0.12]</w:t>
            </w:r>
          </w:p>
        </w:tc>
        <w:tc>
          <w:tcPr>
            <w:tcW w:w="780" w:type="dxa"/>
            <w:shd w:val="clear" w:color="auto" w:fill="auto"/>
            <w:tcMar>
              <w:top w:w="100" w:type="dxa"/>
              <w:left w:w="100" w:type="dxa"/>
              <w:bottom w:w="100" w:type="dxa"/>
              <w:right w:w="100" w:type="dxa"/>
            </w:tcMar>
            <w:vAlign w:val="center"/>
          </w:tcPr>
          <w:p w14:paraId="6AA663AE" w14:textId="77777777" w:rsidR="006C4F12" w:rsidRDefault="00827A53">
            <w:pPr>
              <w:widowControl w:val="0"/>
              <w:spacing w:line="240" w:lineRule="auto"/>
              <w:jc w:val="center"/>
              <w:rPr>
                <w:sz w:val="18"/>
                <w:szCs w:val="18"/>
              </w:rPr>
            </w:pPr>
            <w:r>
              <w:rPr>
                <w:sz w:val="18"/>
                <w:szCs w:val="18"/>
              </w:rPr>
              <w:t>0.079</w:t>
            </w:r>
          </w:p>
        </w:tc>
        <w:tc>
          <w:tcPr>
            <w:tcW w:w="960" w:type="dxa"/>
            <w:shd w:val="clear" w:color="auto" w:fill="auto"/>
            <w:tcMar>
              <w:top w:w="100" w:type="dxa"/>
              <w:left w:w="100" w:type="dxa"/>
              <w:bottom w:w="100" w:type="dxa"/>
              <w:right w:w="100" w:type="dxa"/>
            </w:tcMar>
            <w:vAlign w:val="center"/>
          </w:tcPr>
          <w:p w14:paraId="0C4B0878" w14:textId="77777777" w:rsidR="006C4F12" w:rsidRDefault="00827A53">
            <w:pPr>
              <w:widowControl w:val="0"/>
              <w:spacing w:line="240" w:lineRule="auto"/>
              <w:jc w:val="center"/>
              <w:rPr>
                <w:sz w:val="18"/>
                <w:szCs w:val="18"/>
              </w:rPr>
            </w:pPr>
            <w:r>
              <w:rPr>
                <w:sz w:val="18"/>
                <w:szCs w:val="18"/>
              </w:rPr>
              <w:t>0.67</w:t>
            </w:r>
          </w:p>
        </w:tc>
        <w:tc>
          <w:tcPr>
            <w:tcW w:w="1635" w:type="dxa"/>
            <w:shd w:val="clear" w:color="auto" w:fill="auto"/>
            <w:tcMar>
              <w:top w:w="100" w:type="dxa"/>
              <w:left w:w="100" w:type="dxa"/>
              <w:bottom w:w="100" w:type="dxa"/>
              <w:right w:w="100" w:type="dxa"/>
            </w:tcMar>
            <w:vAlign w:val="center"/>
          </w:tcPr>
          <w:p w14:paraId="3590998B" w14:textId="77777777" w:rsidR="006C4F12" w:rsidRDefault="00827A53">
            <w:pPr>
              <w:widowControl w:val="0"/>
              <w:spacing w:line="240" w:lineRule="auto"/>
              <w:jc w:val="center"/>
              <w:rPr>
                <w:sz w:val="18"/>
                <w:szCs w:val="18"/>
              </w:rPr>
            </w:pPr>
            <w:r>
              <w:rPr>
                <w:sz w:val="18"/>
                <w:szCs w:val="18"/>
              </w:rPr>
              <w:t>0.0082</w:t>
            </w:r>
          </w:p>
          <w:p w14:paraId="075F3AF2" w14:textId="77777777" w:rsidR="006C4F12" w:rsidRDefault="00827A53">
            <w:pPr>
              <w:widowControl w:val="0"/>
              <w:spacing w:line="240" w:lineRule="auto"/>
              <w:jc w:val="center"/>
              <w:rPr>
                <w:sz w:val="18"/>
                <w:szCs w:val="18"/>
              </w:rPr>
            </w:pPr>
            <w:r>
              <w:rPr>
                <w:sz w:val="18"/>
                <w:szCs w:val="18"/>
              </w:rPr>
              <w:t>[-0.063, 0.080]</w:t>
            </w:r>
          </w:p>
        </w:tc>
        <w:tc>
          <w:tcPr>
            <w:tcW w:w="765" w:type="dxa"/>
            <w:shd w:val="clear" w:color="auto" w:fill="auto"/>
            <w:tcMar>
              <w:top w:w="100" w:type="dxa"/>
              <w:left w:w="100" w:type="dxa"/>
              <w:bottom w:w="100" w:type="dxa"/>
              <w:right w:w="100" w:type="dxa"/>
            </w:tcMar>
            <w:vAlign w:val="center"/>
          </w:tcPr>
          <w:p w14:paraId="6B651A65" w14:textId="77777777" w:rsidR="006C4F12" w:rsidRDefault="00827A53">
            <w:pPr>
              <w:widowControl w:val="0"/>
              <w:spacing w:line="240" w:lineRule="auto"/>
              <w:jc w:val="center"/>
              <w:rPr>
                <w:sz w:val="18"/>
                <w:szCs w:val="18"/>
              </w:rPr>
            </w:pPr>
            <w:r>
              <w:rPr>
                <w:sz w:val="18"/>
                <w:szCs w:val="18"/>
              </w:rPr>
              <w:t>0.036</w:t>
            </w:r>
          </w:p>
        </w:tc>
        <w:tc>
          <w:tcPr>
            <w:tcW w:w="885" w:type="dxa"/>
            <w:shd w:val="clear" w:color="auto" w:fill="auto"/>
            <w:tcMar>
              <w:top w:w="100" w:type="dxa"/>
              <w:left w:w="100" w:type="dxa"/>
              <w:bottom w:w="100" w:type="dxa"/>
              <w:right w:w="100" w:type="dxa"/>
            </w:tcMar>
            <w:vAlign w:val="center"/>
          </w:tcPr>
          <w:p w14:paraId="20B295A5" w14:textId="77777777" w:rsidR="006C4F12" w:rsidRDefault="00827A53">
            <w:pPr>
              <w:widowControl w:val="0"/>
              <w:spacing w:line="240" w:lineRule="auto"/>
              <w:jc w:val="center"/>
              <w:rPr>
                <w:sz w:val="18"/>
                <w:szCs w:val="18"/>
              </w:rPr>
            </w:pPr>
            <w:r>
              <w:rPr>
                <w:sz w:val="18"/>
                <w:szCs w:val="18"/>
              </w:rPr>
              <w:t>0.82</w:t>
            </w:r>
          </w:p>
        </w:tc>
        <w:tc>
          <w:tcPr>
            <w:tcW w:w="885" w:type="dxa"/>
            <w:shd w:val="clear" w:color="auto" w:fill="auto"/>
            <w:tcMar>
              <w:top w:w="100" w:type="dxa"/>
              <w:left w:w="100" w:type="dxa"/>
              <w:bottom w:w="100" w:type="dxa"/>
              <w:right w:w="100" w:type="dxa"/>
            </w:tcMar>
            <w:vAlign w:val="center"/>
          </w:tcPr>
          <w:p w14:paraId="7E23A5A4" w14:textId="77777777" w:rsidR="006C4F12" w:rsidRDefault="00827A53">
            <w:pPr>
              <w:widowControl w:val="0"/>
              <w:spacing w:line="240" w:lineRule="auto"/>
              <w:jc w:val="center"/>
              <w:rPr>
                <w:sz w:val="18"/>
                <w:szCs w:val="18"/>
              </w:rPr>
            </w:pPr>
            <w:r>
              <w:rPr>
                <w:sz w:val="18"/>
                <w:szCs w:val="18"/>
              </w:rPr>
              <w:t>-0.48</w:t>
            </w:r>
          </w:p>
        </w:tc>
        <w:tc>
          <w:tcPr>
            <w:tcW w:w="1185" w:type="dxa"/>
            <w:shd w:val="clear" w:color="auto" w:fill="auto"/>
            <w:tcMar>
              <w:top w:w="100" w:type="dxa"/>
              <w:left w:w="100" w:type="dxa"/>
              <w:bottom w:w="100" w:type="dxa"/>
              <w:right w:w="100" w:type="dxa"/>
            </w:tcMar>
            <w:vAlign w:val="center"/>
          </w:tcPr>
          <w:p w14:paraId="38968874" w14:textId="77777777" w:rsidR="006C4F12" w:rsidRDefault="00827A53">
            <w:pPr>
              <w:widowControl w:val="0"/>
              <w:spacing w:line="240" w:lineRule="auto"/>
              <w:jc w:val="center"/>
              <w:rPr>
                <w:sz w:val="18"/>
                <w:szCs w:val="18"/>
              </w:rPr>
            </w:pPr>
            <w:r>
              <w:rPr>
                <w:sz w:val="18"/>
                <w:szCs w:val="18"/>
              </w:rPr>
              <w:t>0.63</w:t>
            </w:r>
          </w:p>
        </w:tc>
      </w:tr>
      <w:tr w:rsidR="006C4F12" w14:paraId="3826B98F" w14:textId="77777777">
        <w:tc>
          <w:tcPr>
            <w:tcW w:w="1575" w:type="dxa"/>
            <w:shd w:val="clear" w:color="auto" w:fill="auto"/>
            <w:tcMar>
              <w:top w:w="100" w:type="dxa"/>
              <w:left w:w="100" w:type="dxa"/>
              <w:bottom w:w="100" w:type="dxa"/>
              <w:right w:w="100" w:type="dxa"/>
            </w:tcMar>
            <w:vAlign w:val="center"/>
          </w:tcPr>
          <w:p w14:paraId="78BCBA8B" w14:textId="77777777" w:rsidR="006C4F12" w:rsidRDefault="00827A53">
            <w:pPr>
              <w:widowControl w:val="0"/>
              <w:spacing w:line="240" w:lineRule="auto"/>
              <w:jc w:val="center"/>
              <w:rPr>
                <w:b/>
                <w:sz w:val="18"/>
                <w:szCs w:val="18"/>
              </w:rPr>
            </w:pPr>
            <w:r>
              <w:rPr>
                <w:b/>
                <w:sz w:val="18"/>
                <w:szCs w:val="18"/>
              </w:rPr>
              <w:t>Winter Mean Temperature</w:t>
            </w:r>
          </w:p>
        </w:tc>
        <w:tc>
          <w:tcPr>
            <w:tcW w:w="1710" w:type="dxa"/>
            <w:shd w:val="clear" w:color="auto" w:fill="auto"/>
            <w:tcMar>
              <w:top w:w="100" w:type="dxa"/>
              <w:left w:w="100" w:type="dxa"/>
              <w:bottom w:w="100" w:type="dxa"/>
              <w:right w:w="100" w:type="dxa"/>
            </w:tcMar>
            <w:vAlign w:val="center"/>
          </w:tcPr>
          <w:p w14:paraId="7B4D6D71" w14:textId="77777777" w:rsidR="006C4F12" w:rsidRDefault="00827A53">
            <w:pPr>
              <w:widowControl w:val="0"/>
              <w:spacing w:line="240" w:lineRule="auto"/>
              <w:jc w:val="center"/>
              <w:rPr>
                <w:sz w:val="18"/>
                <w:szCs w:val="18"/>
              </w:rPr>
            </w:pPr>
            <w:r>
              <w:rPr>
                <w:sz w:val="18"/>
                <w:szCs w:val="18"/>
              </w:rPr>
              <w:t>-0.12</w:t>
            </w:r>
          </w:p>
          <w:p w14:paraId="646C7E10" w14:textId="77777777" w:rsidR="006C4F12" w:rsidRDefault="00827A53">
            <w:pPr>
              <w:widowControl w:val="0"/>
              <w:spacing w:line="240" w:lineRule="auto"/>
              <w:jc w:val="center"/>
              <w:rPr>
                <w:sz w:val="18"/>
                <w:szCs w:val="18"/>
              </w:rPr>
            </w:pPr>
            <w:r>
              <w:rPr>
                <w:sz w:val="18"/>
                <w:szCs w:val="18"/>
              </w:rPr>
              <w:t>[-0.23, -0.0091]</w:t>
            </w:r>
          </w:p>
        </w:tc>
        <w:tc>
          <w:tcPr>
            <w:tcW w:w="780" w:type="dxa"/>
            <w:shd w:val="clear" w:color="auto" w:fill="auto"/>
            <w:tcMar>
              <w:top w:w="100" w:type="dxa"/>
              <w:left w:w="100" w:type="dxa"/>
              <w:bottom w:w="100" w:type="dxa"/>
              <w:right w:w="100" w:type="dxa"/>
            </w:tcMar>
            <w:vAlign w:val="center"/>
          </w:tcPr>
          <w:p w14:paraId="312D08F3" w14:textId="77777777" w:rsidR="006C4F12" w:rsidRDefault="00827A53">
            <w:pPr>
              <w:widowControl w:val="0"/>
              <w:spacing w:line="240" w:lineRule="auto"/>
              <w:jc w:val="center"/>
              <w:rPr>
                <w:sz w:val="18"/>
                <w:szCs w:val="18"/>
              </w:rPr>
            </w:pPr>
            <w:r>
              <w:rPr>
                <w:sz w:val="18"/>
                <w:szCs w:val="18"/>
              </w:rPr>
              <w:t>0.057</w:t>
            </w:r>
          </w:p>
        </w:tc>
        <w:tc>
          <w:tcPr>
            <w:tcW w:w="960" w:type="dxa"/>
            <w:shd w:val="clear" w:color="auto" w:fill="auto"/>
            <w:tcMar>
              <w:top w:w="100" w:type="dxa"/>
              <w:left w:w="100" w:type="dxa"/>
              <w:bottom w:w="100" w:type="dxa"/>
              <w:right w:w="100" w:type="dxa"/>
            </w:tcMar>
            <w:vAlign w:val="center"/>
          </w:tcPr>
          <w:p w14:paraId="27BD23A7" w14:textId="77777777" w:rsidR="006C4F12" w:rsidRDefault="00827A53">
            <w:pPr>
              <w:widowControl w:val="0"/>
              <w:spacing w:line="240" w:lineRule="auto"/>
              <w:jc w:val="center"/>
              <w:rPr>
                <w:sz w:val="18"/>
                <w:szCs w:val="18"/>
              </w:rPr>
            </w:pPr>
            <w:r>
              <w:rPr>
                <w:sz w:val="18"/>
                <w:szCs w:val="18"/>
              </w:rPr>
              <w:t>0.034**</w:t>
            </w:r>
          </w:p>
        </w:tc>
        <w:tc>
          <w:tcPr>
            <w:tcW w:w="1635" w:type="dxa"/>
            <w:shd w:val="clear" w:color="auto" w:fill="auto"/>
            <w:tcMar>
              <w:top w:w="100" w:type="dxa"/>
              <w:left w:w="100" w:type="dxa"/>
              <w:bottom w:w="100" w:type="dxa"/>
              <w:right w:w="100" w:type="dxa"/>
            </w:tcMar>
            <w:vAlign w:val="center"/>
          </w:tcPr>
          <w:p w14:paraId="1E0D7B30" w14:textId="77777777" w:rsidR="006C4F12" w:rsidRDefault="00827A53">
            <w:pPr>
              <w:widowControl w:val="0"/>
              <w:spacing w:line="240" w:lineRule="auto"/>
              <w:jc w:val="center"/>
              <w:rPr>
                <w:sz w:val="18"/>
                <w:szCs w:val="18"/>
              </w:rPr>
            </w:pPr>
            <w:r>
              <w:rPr>
                <w:sz w:val="18"/>
                <w:szCs w:val="18"/>
              </w:rPr>
              <w:t>0.0096</w:t>
            </w:r>
          </w:p>
          <w:p w14:paraId="063B98CA" w14:textId="77777777" w:rsidR="006C4F12" w:rsidRDefault="00827A53">
            <w:pPr>
              <w:widowControl w:val="0"/>
              <w:spacing w:line="240" w:lineRule="auto"/>
              <w:jc w:val="center"/>
              <w:rPr>
                <w:sz w:val="18"/>
                <w:szCs w:val="18"/>
              </w:rPr>
            </w:pPr>
            <w:r>
              <w:rPr>
                <w:sz w:val="18"/>
                <w:szCs w:val="18"/>
              </w:rPr>
              <w:t>[-0.055, 0.074]</w:t>
            </w:r>
          </w:p>
        </w:tc>
        <w:tc>
          <w:tcPr>
            <w:tcW w:w="765" w:type="dxa"/>
            <w:shd w:val="clear" w:color="auto" w:fill="auto"/>
            <w:tcMar>
              <w:top w:w="100" w:type="dxa"/>
              <w:left w:w="100" w:type="dxa"/>
              <w:bottom w:w="100" w:type="dxa"/>
              <w:right w:w="100" w:type="dxa"/>
            </w:tcMar>
            <w:vAlign w:val="center"/>
          </w:tcPr>
          <w:p w14:paraId="37612146" w14:textId="77777777" w:rsidR="006C4F12" w:rsidRDefault="00827A53">
            <w:pPr>
              <w:widowControl w:val="0"/>
              <w:spacing w:line="240" w:lineRule="auto"/>
              <w:jc w:val="center"/>
              <w:rPr>
                <w:sz w:val="18"/>
                <w:szCs w:val="18"/>
              </w:rPr>
            </w:pPr>
            <w:r>
              <w:rPr>
                <w:sz w:val="18"/>
                <w:szCs w:val="18"/>
              </w:rPr>
              <w:t>0.033</w:t>
            </w:r>
          </w:p>
        </w:tc>
        <w:tc>
          <w:tcPr>
            <w:tcW w:w="885" w:type="dxa"/>
            <w:shd w:val="clear" w:color="auto" w:fill="auto"/>
            <w:tcMar>
              <w:top w:w="100" w:type="dxa"/>
              <w:left w:w="100" w:type="dxa"/>
              <w:bottom w:w="100" w:type="dxa"/>
              <w:right w:w="100" w:type="dxa"/>
            </w:tcMar>
            <w:vAlign w:val="center"/>
          </w:tcPr>
          <w:p w14:paraId="2446547F" w14:textId="77777777" w:rsidR="006C4F12" w:rsidRDefault="00827A53">
            <w:pPr>
              <w:widowControl w:val="0"/>
              <w:spacing w:line="240" w:lineRule="auto"/>
              <w:jc w:val="center"/>
              <w:rPr>
                <w:sz w:val="18"/>
                <w:szCs w:val="18"/>
              </w:rPr>
            </w:pPr>
            <w:r>
              <w:rPr>
                <w:sz w:val="18"/>
                <w:szCs w:val="18"/>
              </w:rPr>
              <w:t>0.77</w:t>
            </w:r>
          </w:p>
        </w:tc>
        <w:tc>
          <w:tcPr>
            <w:tcW w:w="885" w:type="dxa"/>
            <w:shd w:val="clear" w:color="auto" w:fill="auto"/>
            <w:tcMar>
              <w:top w:w="100" w:type="dxa"/>
              <w:left w:w="100" w:type="dxa"/>
              <w:bottom w:w="100" w:type="dxa"/>
              <w:right w:w="100" w:type="dxa"/>
            </w:tcMar>
            <w:vAlign w:val="center"/>
          </w:tcPr>
          <w:p w14:paraId="39244C5A" w14:textId="77777777" w:rsidR="006C4F12" w:rsidRDefault="00827A53">
            <w:pPr>
              <w:widowControl w:val="0"/>
              <w:spacing w:line="240" w:lineRule="auto"/>
              <w:jc w:val="center"/>
              <w:rPr>
                <w:sz w:val="18"/>
                <w:szCs w:val="18"/>
              </w:rPr>
            </w:pPr>
            <w:r>
              <w:rPr>
                <w:sz w:val="18"/>
                <w:szCs w:val="18"/>
              </w:rPr>
              <w:t>-1.98</w:t>
            </w:r>
          </w:p>
        </w:tc>
        <w:tc>
          <w:tcPr>
            <w:tcW w:w="1185" w:type="dxa"/>
            <w:shd w:val="clear" w:color="auto" w:fill="auto"/>
            <w:tcMar>
              <w:top w:w="100" w:type="dxa"/>
              <w:left w:w="100" w:type="dxa"/>
              <w:bottom w:w="100" w:type="dxa"/>
              <w:right w:w="100" w:type="dxa"/>
            </w:tcMar>
            <w:vAlign w:val="center"/>
          </w:tcPr>
          <w:p w14:paraId="4091E5B9" w14:textId="77777777" w:rsidR="006C4F12" w:rsidRDefault="00827A53">
            <w:pPr>
              <w:widowControl w:val="0"/>
              <w:spacing w:line="240" w:lineRule="auto"/>
              <w:jc w:val="center"/>
              <w:rPr>
                <w:sz w:val="18"/>
                <w:szCs w:val="18"/>
              </w:rPr>
            </w:pPr>
            <w:r>
              <w:rPr>
                <w:sz w:val="18"/>
                <w:szCs w:val="18"/>
              </w:rPr>
              <w:t>0.48</w:t>
            </w:r>
          </w:p>
        </w:tc>
      </w:tr>
      <w:tr w:rsidR="006C4F12" w14:paraId="3C24792A" w14:textId="77777777">
        <w:tc>
          <w:tcPr>
            <w:tcW w:w="1575" w:type="dxa"/>
            <w:shd w:val="clear" w:color="auto" w:fill="auto"/>
            <w:tcMar>
              <w:top w:w="100" w:type="dxa"/>
              <w:left w:w="100" w:type="dxa"/>
              <w:bottom w:w="100" w:type="dxa"/>
              <w:right w:w="100" w:type="dxa"/>
            </w:tcMar>
            <w:vAlign w:val="center"/>
          </w:tcPr>
          <w:p w14:paraId="40A96423" w14:textId="666F23D0" w:rsidR="006C4F12" w:rsidRDefault="00827A53">
            <w:pPr>
              <w:widowControl w:val="0"/>
              <w:spacing w:line="240" w:lineRule="auto"/>
              <w:jc w:val="center"/>
              <w:rPr>
                <w:b/>
                <w:sz w:val="18"/>
                <w:szCs w:val="18"/>
              </w:rPr>
            </w:pPr>
            <w:r>
              <w:rPr>
                <w:b/>
                <w:color w:val="C00000"/>
                <w:sz w:val="18"/>
                <w:szCs w:val="18"/>
              </w:rPr>
              <w:t>H</w:t>
            </w:r>
            <w:r w:rsidR="000C68FD">
              <w:rPr>
                <w:rFonts w:hint="eastAsia"/>
                <w:b/>
                <w:color w:val="C00000"/>
                <w:sz w:val="18"/>
                <w:szCs w:val="18"/>
                <w:lang w:eastAsia="zh-TW"/>
              </w:rPr>
              <w:t>o</w:t>
            </w:r>
            <w:r>
              <w:rPr>
                <w:b/>
                <w:color w:val="C00000"/>
                <w:sz w:val="18"/>
                <w:szCs w:val="18"/>
              </w:rPr>
              <w:t>t Day Counts</w:t>
            </w:r>
          </w:p>
        </w:tc>
        <w:tc>
          <w:tcPr>
            <w:tcW w:w="1710" w:type="dxa"/>
            <w:shd w:val="clear" w:color="auto" w:fill="auto"/>
            <w:tcMar>
              <w:top w:w="100" w:type="dxa"/>
              <w:left w:w="100" w:type="dxa"/>
              <w:bottom w:w="100" w:type="dxa"/>
              <w:right w:w="100" w:type="dxa"/>
            </w:tcMar>
            <w:vAlign w:val="center"/>
          </w:tcPr>
          <w:p w14:paraId="3D736D9A" w14:textId="77777777" w:rsidR="006C4F12" w:rsidRDefault="00827A53">
            <w:pPr>
              <w:widowControl w:val="0"/>
              <w:spacing w:line="240" w:lineRule="auto"/>
              <w:jc w:val="center"/>
              <w:rPr>
                <w:sz w:val="18"/>
                <w:szCs w:val="18"/>
              </w:rPr>
            </w:pPr>
            <w:r>
              <w:rPr>
                <w:sz w:val="18"/>
                <w:szCs w:val="18"/>
              </w:rPr>
              <w:t>-0.0072</w:t>
            </w:r>
          </w:p>
          <w:p w14:paraId="10409373" w14:textId="77777777" w:rsidR="006C4F12" w:rsidRDefault="00827A53">
            <w:pPr>
              <w:widowControl w:val="0"/>
              <w:spacing w:line="240" w:lineRule="auto"/>
              <w:jc w:val="center"/>
              <w:rPr>
                <w:sz w:val="18"/>
                <w:szCs w:val="18"/>
              </w:rPr>
            </w:pPr>
            <w:r>
              <w:rPr>
                <w:sz w:val="18"/>
                <w:szCs w:val="18"/>
              </w:rPr>
              <w:t>[-0.011, -0.0038]</w:t>
            </w:r>
          </w:p>
        </w:tc>
        <w:tc>
          <w:tcPr>
            <w:tcW w:w="780" w:type="dxa"/>
            <w:shd w:val="clear" w:color="auto" w:fill="auto"/>
            <w:tcMar>
              <w:top w:w="100" w:type="dxa"/>
              <w:left w:w="100" w:type="dxa"/>
              <w:bottom w:w="100" w:type="dxa"/>
              <w:right w:w="100" w:type="dxa"/>
            </w:tcMar>
            <w:vAlign w:val="center"/>
          </w:tcPr>
          <w:p w14:paraId="186568D7" w14:textId="77777777" w:rsidR="006C4F12" w:rsidRDefault="00827A53">
            <w:pPr>
              <w:widowControl w:val="0"/>
              <w:spacing w:line="240" w:lineRule="auto"/>
              <w:jc w:val="center"/>
              <w:rPr>
                <w:sz w:val="18"/>
                <w:szCs w:val="18"/>
              </w:rPr>
            </w:pPr>
            <w:r>
              <w:rPr>
                <w:sz w:val="18"/>
                <w:szCs w:val="18"/>
              </w:rPr>
              <w:t>0.0017</w:t>
            </w:r>
          </w:p>
        </w:tc>
        <w:tc>
          <w:tcPr>
            <w:tcW w:w="960" w:type="dxa"/>
            <w:shd w:val="clear" w:color="auto" w:fill="auto"/>
            <w:tcMar>
              <w:top w:w="100" w:type="dxa"/>
              <w:left w:w="100" w:type="dxa"/>
              <w:bottom w:w="100" w:type="dxa"/>
              <w:right w:w="100" w:type="dxa"/>
            </w:tcMar>
            <w:vAlign w:val="center"/>
          </w:tcPr>
          <w:p w14:paraId="0573AD37" w14:textId="77777777" w:rsidR="006C4F12" w:rsidRDefault="00827A53">
            <w:pPr>
              <w:widowControl w:val="0"/>
              <w:spacing w:line="240" w:lineRule="auto"/>
              <w:jc w:val="center"/>
              <w:rPr>
                <w:sz w:val="18"/>
                <w:szCs w:val="18"/>
              </w:rPr>
            </w:pPr>
            <w:r>
              <w:rPr>
                <w:sz w:val="18"/>
                <w:szCs w:val="18"/>
              </w:rPr>
              <w:t>&lt; 0.001**</w:t>
            </w:r>
          </w:p>
        </w:tc>
        <w:tc>
          <w:tcPr>
            <w:tcW w:w="1635" w:type="dxa"/>
            <w:shd w:val="clear" w:color="auto" w:fill="auto"/>
            <w:tcMar>
              <w:top w:w="100" w:type="dxa"/>
              <w:left w:w="100" w:type="dxa"/>
              <w:bottom w:w="100" w:type="dxa"/>
              <w:right w:w="100" w:type="dxa"/>
            </w:tcMar>
            <w:vAlign w:val="center"/>
          </w:tcPr>
          <w:p w14:paraId="41C8D7CB" w14:textId="77777777" w:rsidR="006C4F12" w:rsidRDefault="00827A53">
            <w:pPr>
              <w:widowControl w:val="0"/>
              <w:spacing w:line="240" w:lineRule="auto"/>
              <w:jc w:val="center"/>
              <w:rPr>
                <w:sz w:val="18"/>
                <w:szCs w:val="18"/>
              </w:rPr>
            </w:pPr>
            <w:r>
              <w:rPr>
                <w:sz w:val="18"/>
                <w:szCs w:val="18"/>
              </w:rPr>
              <w:t>0.00020</w:t>
            </w:r>
          </w:p>
          <w:p w14:paraId="510B6528" w14:textId="77777777" w:rsidR="006C4F12" w:rsidRDefault="00827A53">
            <w:pPr>
              <w:widowControl w:val="0"/>
              <w:spacing w:line="240" w:lineRule="auto"/>
              <w:jc w:val="center"/>
              <w:rPr>
                <w:sz w:val="18"/>
                <w:szCs w:val="18"/>
              </w:rPr>
            </w:pPr>
            <w:r>
              <w:rPr>
                <w:sz w:val="18"/>
                <w:szCs w:val="18"/>
              </w:rPr>
              <w:t xml:space="preserve"> [-0.0022, 0.0026]</w:t>
            </w:r>
          </w:p>
        </w:tc>
        <w:tc>
          <w:tcPr>
            <w:tcW w:w="765" w:type="dxa"/>
            <w:shd w:val="clear" w:color="auto" w:fill="auto"/>
            <w:tcMar>
              <w:top w:w="100" w:type="dxa"/>
              <w:left w:w="100" w:type="dxa"/>
              <w:bottom w:w="100" w:type="dxa"/>
              <w:right w:w="100" w:type="dxa"/>
            </w:tcMar>
            <w:vAlign w:val="center"/>
          </w:tcPr>
          <w:p w14:paraId="3D348447" w14:textId="77777777" w:rsidR="006C4F12" w:rsidRDefault="00827A53">
            <w:pPr>
              <w:widowControl w:val="0"/>
              <w:spacing w:line="240" w:lineRule="auto"/>
              <w:jc w:val="center"/>
              <w:rPr>
                <w:sz w:val="18"/>
                <w:szCs w:val="18"/>
              </w:rPr>
            </w:pPr>
            <w:r>
              <w:rPr>
                <w:sz w:val="18"/>
                <w:szCs w:val="18"/>
              </w:rPr>
              <w:t>0.0012</w:t>
            </w:r>
          </w:p>
        </w:tc>
        <w:tc>
          <w:tcPr>
            <w:tcW w:w="885" w:type="dxa"/>
            <w:shd w:val="clear" w:color="auto" w:fill="auto"/>
            <w:tcMar>
              <w:top w:w="100" w:type="dxa"/>
              <w:left w:w="100" w:type="dxa"/>
              <w:bottom w:w="100" w:type="dxa"/>
              <w:right w:w="100" w:type="dxa"/>
            </w:tcMar>
            <w:vAlign w:val="center"/>
          </w:tcPr>
          <w:p w14:paraId="22C35BFB" w14:textId="77777777" w:rsidR="006C4F12" w:rsidRDefault="00827A53">
            <w:pPr>
              <w:widowControl w:val="0"/>
              <w:spacing w:line="240" w:lineRule="auto"/>
              <w:jc w:val="center"/>
              <w:rPr>
                <w:sz w:val="18"/>
                <w:szCs w:val="18"/>
              </w:rPr>
            </w:pPr>
            <w:r>
              <w:rPr>
                <w:sz w:val="18"/>
                <w:szCs w:val="18"/>
              </w:rPr>
              <w:t>0.87</w:t>
            </w:r>
          </w:p>
        </w:tc>
        <w:tc>
          <w:tcPr>
            <w:tcW w:w="885" w:type="dxa"/>
            <w:shd w:val="clear" w:color="auto" w:fill="auto"/>
            <w:tcMar>
              <w:top w:w="100" w:type="dxa"/>
              <w:left w:w="100" w:type="dxa"/>
              <w:bottom w:w="100" w:type="dxa"/>
              <w:right w:w="100" w:type="dxa"/>
            </w:tcMar>
            <w:vAlign w:val="center"/>
          </w:tcPr>
          <w:p w14:paraId="3BAC6AE6" w14:textId="77777777" w:rsidR="006C4F12" w:rsidRDefault="00827A53">
            <w:pPr>
              <w:widowControl w:val="0"/>
              <w:spacing w:line="240" w:lineRule="auto"/>
              <w:jc w:val="center"/>
              <w:rPr>
                <w:sz w:val="18"/>
                <w:szCs w:val="18"/>
              </w:rPr>
            </w:pPr>
            <w:r>
              <w:rPr>
                <w:sz w:val="18"/>
                <w:szCs w:val="18"/>
              </w:rPr>
              <w:t>-3.47</w:t>
            </w:r>
          </w:p>
        </w:tc>
        <w:tc>
          <w:tcPr>
            <w:tcW w:w="1185" w:type="dxa"/>
            <w:shd w:val="clear" w:color="auto" w:fill="auto"/>
            <w:tcMar>
              <w:top w:w="100" w:type="dxa"/>
              <w:left w:w="100" w:type="dxa"/>
              <w:bottom w:w="100" w:type="dxa"/>
              <w:right w:w="100" w:type="dxa"/>
            </w:tcMar>
            <w:vAlign w:val="center"/>
          </w:tcPr>
          <w:p w14:paraId="608DD4AA" w14:textId="77777777" w:rsidR="006C4F12" w:rsidRDefault="00827A53">
            <w:pPr>
              <w:widowControl w:val="0"/>
              <w:spacing w:line="240" w:lineRule="auto"/>
              <w:jc w:val="center"/>
              <w:rPr>
                <w:color w:val="C00000"/>
                <w:sz w:val="18"/>
                <w:szCs w:val="18"/>
              </w:rPr>
            </w:pPr>
            <w:r>
              <w:rPr>
                <w:color w:val="C00000"/>
                <w:sz w:val="18"/>
                <w:szCs w:val="18"/>
              </w:rPr>
              <w:t>0.00052*</w:t>
            </w:r>
          </w:p>
        </w:tc>
      </w:tr>
      <w:tr w:rsidR="006C4F12" w14:paraId="3292014D" w14:textId="77777777">
        <w:tc>
          <w:tcPr>
            <w:tcW w:w="1575" w:type="dxa"/>
            <w:shd w:val="clear" w:color="auto" w:fill="auto"/>
            <w:tcMar>
              <w:top w:w="100" w:type="dxa"/>
              <w:left w:w="100" w:type="dxa"/>
              <w:bottom w:w="100" w:type="dxa"/>
              <w:right w:w="100" w:type="dxa"/>
            </w:tcMar>
            <w:vAlign w:val="center"/>
          </w:tcPr>
          <w:p w14:paraId="5E492050" w14:textId="77777777" w:rsidR="006C4F12" w:rsidRDefault="00827A53">
            <w:pPr>
              <w:widowControl w:val="0"/>
              <w:spacing w:line="240" w:lineRule="auto"/>
              <w:jc w:val="center"/>
              <w:rPr>
                <w:b/>
                <w:sz w:val="18"/>
                <w:szCs w:val="18"/>
              </w:rPr>
            </w:pPr>
            <w:r>
              <w:rPr>
                <w:b/>
                <w:sz w:val="18"/>
                <w:szCs w:val="18"/>
              </w:rPr>
              <w:t>Cold Day Counts</w:t>
            </w:r>
          </w:p>
        </w:tc>
        <w:tc>
          <w:tcPr>
            <w:tcW w:w="1710" w:type="dxa"/>
            <w:shd w:val="clear" w:color="auto" w:fill="auto"/>
            <w:tcMar>
              <w:top w:w="100" w:type="dxa"/>
              <w:left w:w="100" w:type="dxa"/>
              <w:bottom w:w="100" w:type="dxa"/>
              <w:right w:w="100" w:type="dxa"/>
            </w:tcMar>
            <w:vAlign w:val="center"/>
          </w:tcPr>
          <w:p w14:paraId="36699805" w14:textId="77777777" w:rsidR="006C4F12" w:rsidRDefault="00827A53">
            <w:pPr>
              <w:widowControl w:val="0"/>
              <w:spacing w:line="240" w:lineRule="auto"/>
              <w:jc w:val="center"/>
              <w:rPr>
                <w:sz w:val="18"/>
                <w:szCs w:val="18"/>
              </w:rPr>
            </w:pPr>
            <w:r>
              <w:rPr>
                <w:sz w:val="18"/>
                <w:szCs w:val="18"/>
              </w:rPr>
              <w:t>-0.00017</w:t>
            </w:r>
          </w:p>
          <w:p w14:paraId="0BF9D46E" w14:textId="77777777" w:rsidR="006C4F12" w:rsidRDefault="00827A53">
            <w:pPr>
              <w:widowControl w:val="0"/>
              <w:spacing w:line="240" w:lineRule="auto"/>
              <w:jc w:val="center"/>
              <w:rPr>
                <w:sz w:val="18"/>
                <w:szCs w:val="18"/>
              </w:rPr>
            </w:pPr>
            <w:r>
              <w:rPr>
                <w:sz w:val="18"/>
                <w:szCs w:val="18"/>
              </w:rPr>
              <w:t>[-0.0080, 0.0076]</w:t>
            </w:r>
          </w:p>
        </w:tc>
        <w:tc>
          <w:tcPr>
            <w:tcW w:w="780" w:type="dxa"/>
            <w:shd w:val="clear" w:color="auto" w:fill="auto"/>
            <w:tcMar>
              <w:top w:w="100" w:type="dxa"/>
              <w:left w:w="100" w:type="dxa"/>
              <w:bottom w:w="100" w:type="dxa"/>
              <w:right w:w="100" w:type="dxa"/>
            </w:tcMar>
            <w:vAlign w:val="center"/>
          </w:tcPr>
          <w:p w14:paraId="0A5746EC" w14:textId="77777777" w:rsidR="006C4F12" w:rsidRDefault="00827A53">
            <w:pPr>
              <w:widowControl w:val="0"/>
              <w:spacing w:line="240" w:lineRule="auto"/>
              <w:jc w:val="center"/>
              <w:rPr>
                <w:sz w:val="18"/>
                <w:szCs w:val="18"/>
              </w:rPr>
            </w:pPr>
            <w:r>
              <w:rPr>
                <w:sz w:val="18"/>
                <w:szCs w:val="18"/>
              </w:rPr>
              <w:t>0.0040</w:t>
            </w:r>
          </w:p>
        </w:tc>
        <w:tc>
          <w:tcPr>
            <w:tcW w:w="960" w:type="dxa"/>
            <w:shd w:val="clear" w:color="auto" w:fill="auto"/>
            <w:tcMar>
              <w:top w:w="100" w:type="dxa"/>
              <w:left w:w="100" w:type="dxa"/>
              <w:bottom w:w="100" w:type="dxa"/>
              <w:right w:w="100" w:type="dxa"/>
            </w:tcMar>
            <w:vAlign w:val="center"/>
          </w:tcPr>
          <w:p w14:paraId="51487FBC" w14:textId="77777777" w:rsidR="006C4F12" w:rsidRDefault="00827A53">
            <w:pPr>
              <w:widowControl w:val="0"/>
              <w:spacing w:line="240" w:lineRule="auto"/>
              <w:jc w:val="center"/>
              <w:rPr>
                <w:sz w:val="18"/>
                <w:szCs w:val="18"/>
              </w:rPr>
            </w:pPr>
            <w:r>
              <w:rPr>
                <w:sz w:val="18"/>
                <w:szCs w:val="18"/>
              </w:rPr>
              <w:t>0.97</w:t>
            </w:r>
          </w:p>
        </w:tc>
        <w:tc>
          <w:tcPr>
            <w:tcW w:w="1635" w:type="dxa"/>
            <w:shd w:val="clear" w:color="auto" w:fill="auto"/>
            <w:tcMar>
              <w:top w:w="100" w:type="dxa"/>
              <w:left w:w="100" w:type="dxa"/>
              <w:bottom w:w="100" w:type="dxa"/>
              <w:right w:w="100" w:type="dxa"/>
            </w:tcMar>
            <w:vAlign w:val="center"/>
          </w:tcPr>
          <w:p w14:paraId="65592B62" w14:textId="77777777" w:rsidR="006C4F12" w:rsidRDefault="00827A53">
            <w:pPr>
              <w:widowControl w:val="0"/>
              <w:spacing w:line="240" w:lineRule="auto"/>
              <w:jc w:val="center"/>
              <w:rPr>
                <w:sz w:val="18"/>
                <w:szCs w:val="18"/>
              </w:rPr>
            </w:pPr>
            <w:r>
              <w:rPr>
                <w:sz w:val="18"/>
                <w:szCs w:val="18"/>
              </w:rPr>
              <w:t>-0.00035</w:t>
            </w:r>
          </w:p>
          <w:p w14:paraId="28E23182" w14:textId="77777777" w:rsidR="006C4F12" w:rsidRDefault="00827A53">
            <w:pPr>
              <w:widowControl w:val="0"/>
              <w:spacing w:line="240" w:lineRule="auto"/>
              <w:jc w:val="center"/>
              <w:rPr>
                <w:sz w:val="18"/>
                <w:szCs w:val="18"/>
              </w:rPr>
            </w:pPr>
            <w:r>
              <w:rPr>
                <w:sz w:val="18"/>
                <w:szCs w:val="18"/>
              </w:rPr>
              <w:t>[-0.0033, 0.0026]</w:t>
            </w:r>
          </w:p>
        </w:tc>
        <w:tc>
          <w:tcPr>
            <w:tcW w:w="765" w:type="dxa"/>
            <w:shd w:val="clear" w:color="auto" w:fill="auto"/>
            <w:tcMar>
              <w:top w:w="100" w:type="dxa"/>
              <w:left w:w="100" w:type="dxa"/>
              <w:bottom w:w="100" w:type="dxa"/>
              <w:right w:w="100" w:type="dxa"/>
            </w:tcMar>
            <w:vAlign w:val="center"/>
          </w:tcPr>
          <w:p w14:paraId="08921914" w14:textId="77777777" w:rsidR="006C4F12" w:rsidRDefault="00827A53">
            <w:pPr>
              <w:widowControl w:val="0"/>
              <w:spacing w:line="240" w:lineRule="auto"/>
              <w:jc w:val="center"/>
              <w:rPr>
                <w:sz w:val="18"/>
                <w:szCs w:val="18"/>
              </w:rPr>
            </w:pPr>
            <w:r>
              <w:rPr>
                <w:sz w:val="18"/>
                <w:szCs w:val="18"/>
              </w:rPr>
              <w:t>0.0015</w:t>
            </w:r>
          </w:p>
        </w:tc>
        <w:tc>
          <w:tcPr>
            <w:tcW w:w="885" w:type="dxa"/>
            <w:shd w:val="clear" w:color="auto" w:fill="auto"/>
            <w:tcMar>
              <w:top w:w="100" w:type="dxa"/>
              <w:left w:w="100" w:type="dxa"/>
              <w:bottom w:w="100" w:type="dxa"/>
              <w:right w:w="100" w:type="dxa"/>
            </w:tcMar>
            <w:vAlign w:val="center"/>
          </w:tcPr>
          <w:p w14:paraId="67D8C75D" w14:textId="77777777" w:rsidR="006C4F12" w:rsidRDefault="00827A53">
            <w:pPr>
              <w:widowControl w:val="0"/>
              <w:spacing w:line="240" w:lineRule="auto"/>
              <w:jc w:val="center"/>
              <w:rPr>
                <w:sz w:val="18"/>
                <w:szCs w:val="18"/>
              </w:rPr>
            </w:pPr>
            <w:r>
              <w:rPr>
                <w:sz w:val="18"/>
                <w:szCs w:val="18"/>
              </w:rPr>
              <w:t>0.82</w:t>
            </w:r>
          </w:p>
        </w:tc>
        <w:tc>
          <w:tcPr>
            <w:tcW w:w="885" w:type="dxa"/>
            <w:shd w:val="clear" w:color="auto" w:fill="auto"/>
            <w:tcMar>
              <w:top w:w="100" w:type="dxa"/>
              <w:left w:w="100" w:type="dxa"/>
              <w:bottom w:w="100" w:type="dxa"/>
              <w:right w:w="100" w:type="dxa"/>
            </w:tcMar>
            <w:vAlign w:val="center"/>
          </w:tcPr>
          <w:p w14:paraId="02653659" w14:textId="77777777" w:rsidR="006C4F12" w:rsidRDefault="00827A53">
            <w:pPr>
              <w:widowControl w:val="0"/>
              <w:spacing w:line="240" w:lineRule="auto"/>
              <w:jc w:val="center"/>
              <w:rPr>
                <w:sz w:val="18"/>
                <w:szCs w:val="18"/>
              </w:rPr>
            </w:pPr>
            <w:r>
              <w:rPr>
                <w:sz w:val="18"/>
                <w:szCs w:val="18"/>
              </w:rPr>
              <w:t>0.043</w:t>
            </w:r>
          </w:p>
        </w:tc>
        <w:tc>
          <w:tcPr>
            <w:tcW w:w="1185" w:type="dxa"/>
            <w:shd w:val="clear" w:color="auto" w:fill="auto"/>
            <w:tcMar>
              <w:top w:w="100" w:type="dxa"/>
              <w:left w:w="100" w:type="dxa"/>
              <w:bottom w:w="100" w:type="dxa"/>
              <w:right w:w="100" w:type="dxa"/>
            </w:tcMar>
            <w:vAlign w:val="center"/>
          </w:tcPr>
          <w:p w14:paraId="7FE29599" w14:textId="77777777" w:rsidR="006C4F12" w:rsidRDefault="00827A53">
            <w:pPr>
              <w:widowControl w:val="0"/>
              <w:spacing w:line="240" w:lineRule="auto"/>
              <w:jc w:val="center"/>
              <w:rPr>
                <w:sz w:val="18"/>
                <w:szCs w:val="18"/>
              </w:rPr>
            </w:pPr>
            <w:r>
              <w:rPr>
                <w:sz w:val="18"/>
                <w:szCs w:val="18"/>
              </w:rPr>
              <w:t>0.97</w:t>
            </w:r>
          </w:p>
        </w:tc>
      </w:tr>
      <w:tr w:rsidR="006C4F12" w14:paraId="4E5391AB" w14:textId="77777777">
        <w:trPr>
          <w:trHeight w:val="380"/>
        </w:trPr>
        <w:tc>
          <w:tcPr>
            <w:tcW w:w="10380" w:type="dxa"/>
            <w:gridSpan w:val="9"/>
            <w:shd w:val="clear" w:color="auto" w:fill="auto"/>
            <w:tcMar>
              <w:top w:w="100" w:type="dxa"/>
              <w:left w:w="100" w:type="dxa"/>
              <w:bottom w:w="100" w:type="dxa"/>
              <w:right w:w="100" w:type="dxa"/>
            </w:tcMar>
          </w:tcPr>
          <w:p w14:paraId="2648B4FA" w14:textId="77777777" w:rsidR="006C4F12" w:rsidRDefault="00827A53">
            <w:pPr>
              <w:widowControl w:val="0"/>
              <w:spacing w:line="240" w:lineRule="auto"/>
              <w:rPr>
                <w:sz w:val="18"/>
                <w:szCs w:val="18"/>
              </w:rPr>
            </w:pPr>
            <w:proofErr w:type="spellStart"/>
            <w:r w:rsidRPr="00827A53">
              <w:rPr>
                <w:sz w:val="18"/>
                <w:szCs w:val="18"/>
                <w:lang w:val="fr-FR"/>
              </w:rPr>
              <w:t>Significant</w:t>
            </w:r>
            <w:proofErr w:type="spellEnd"/>
            <w:r w:rsidRPr="00827A53">
              <w:rPr>
                <w:sz w:val="18"/>
                <w:szCs w:val="18"/>
                <w:lang w:val="fr-FR"/>
              </w:rPr>
              <w:t xml:space="preserve"> codes:  0 ‘***’ 0.001 ‘**’ 0.01 ‘*’ 0.05 ‘.’ </w:t>
            </w:r>
            <w:r>
              <w:rPr>
                <w:sz w:val="18"/>
                <w:szCs w:val="18"/>
              </w:rPr>
              <w:t>0.1 ‘ ’ 1</w:t>
            </w:r>
          </w:p>
        </w:tc>
      </w:tr>
    </w:tbl>
    <w:p w14:paraId="77082575" w14:textId="77777777" w:rsidR="006C4F12" w:rsidRDefault="006C4F12">
      <w:pPr>
        <w:rPr>
          <w:b/>
        </w:rPr>
      </w:pPr>
    </w:p>
    <w:p w14:paraId="0E91FFA1" w14:textId="77777777" w:rsidR="006C4F12" w:rsidRDefault="00827A53">
      <w:pPr>
        <w:rPr>
          <w:b/>
        </w:rPr>
      </w:pPr>
      <w:r>
        <w:rPr>
          <w:b/>
        </w:rPr>
        <w:t xml:space="preserve">Table S.3 Table of coefficient estimates, 95% confidence interval, p-value for statistical significance, the z-score, and p-value for the hypothesis testing of gender </w:t>
      </w:r>
      <w:r>
        <w:rPr>
          <w:b/>
        </w:rPr>
        <w:t>equality for the male and female specific models constructed with GEE and AR(1) covariance structured error terms.</w:t>
      </w:r>
    </w:p>
    <w:p w14:paraId="12087C36" w14:textId="77777777" w:rsidR="006C4F12" w:rsidRDefault="00827A53">
      <w:pPr>
        <w:ind w:left="720"/>
        <w:rPr>
          <w:b/>
        </w:rPr>
      </w:pPr>
      <w:r>
        <w:br w:type="page"/>
      </w:r>
    </w:p>
    <w:p w14:paraId="6A91EA59" w14:textId="77777777" w:rsidR="006C4F12" w:rsidRDefault="006C4F12">
      <w:pPr>
        <w:ind w:left="720"/>
        <w:rPr>
          <w:b/>
        </w:rPr>
      </w:pPr>
    </w:p>
    <w:p w14:paraId="7AD84427" w14:textId="53F445BF" w:rsidR="006C4F12" w:rsidRDefault="00EB23DA">
      <w:pPr>
        <w:rPr>
          <w:b/>
        </w:rPr>
      </w:pPr>
      <w:r>
        <w:rPr>
          <w:b/>
        </w:rPr>
        <w:t>A.</w:t>
      </w:r>
      <w:r w:rsidR="005C6694">
        <w:rPr>
          <w:b/>
        </w:rPr>
        <w:t>7</w:t>
      </w:r>
      <w:r>
        <w:rPr>
          <w:b/>
        </w:rPr>
        <w:t xml:space="preserve"> Gender-specific Birth Rate Trend </w:t>
      </w:r>
      <w:r w:rsidR="00FC2A8A">
        <w:rPr>
          <w:b/>
        </w:rPr>
        <w:t>in India</w:t>
      </w:r>
    </w:p>
    <w:p w14:paraId="6F8E3ECC" w14:textId="77777777" w:rsidR="008445D9" w:rsidRDefault="008445D9" w:rsidP="00FC2A8A">
      <w:pPr>
        <w:rPr>
          <w:noProof/>
          <w:color w:val="FF0000"/>
        </w:rPr>
      </w:pPr>
    </w:p>
    <w:p w14:paraId="1375B32F" w14:textId="47890B95" w:rsidR="006C4F12" w:rsidRDefault="00827A53">
      <w:pPr>
        <w:jc w:val="center"/>
        <w:rPr>
          <w:color w:val="FF0000"/>
        </w:rPr>
      </w:pPr>
      <w:r>
        <w:rPr>
          <w:noProof/>
          <w:color w:val="FF0000"/>
        </w:rPr>
        <w:drawing>
          <wp:inline distT="114300" distB="114300" distL="114300" distR="114300" wp14:anchorId="19D13369" wp14:editId="5491A9F7">
            <wp:extent cx="5483787" cy="2978562"/>
            <wp:effectExtent l="0" t="0" r="3175" b="0"/>
            <wp:docPr id="16" name="image9.jpg"/>
            <wp:cNvGraphicFramePr/>
            <a:graphic xmlns:a="http://schemas.openxmlformats.org/drawingml/2006/main">
              <a:graphicData uri="http://schemas.openxmlformats.org/drawingml/2006/picture">
                <pic:pic xmlns:pic="http://schemas.openxmlformats.org/drawingml/2006/picture">
                  <pic:nvPicPr>
                    <pic:cNvPr id="16" name="image9.jpg"/>
                    <pic:cNvPicPr preferRelativeResize="0"/>
                  </pic:nvPicPr>
                  <pic:blipFill rotWithShape="1">
                    <a:blip r:embed="rId31" cstate="print">
                      <a:extLst>
                        <a:ext uri="{28A0092B-C50C-407E-A947-70E740481C1C}">
                          <a14:useLocalDpi xmlns:a14="http://schemas.microsoft.com/office/drawing/2010/main" val="0"/>
                        </a:ext>
                      </a:extLst>
                    </a:blip>
                    <a:srcRect l="139" t="13432" r="-139" b="5094"/>
                    <a:stretch/>
                  </pic:blipFill>
                  <pic:spPr>
                    <a:xfrm>
                      <a:off x="0" y="0"/>
                      <a:ext cx="5483787" cy="2978562"/>
                    </a:xfrm>
                    <a:prstGeom prst="rect">
                      <a:avLst/>
                    </a:prstGeom>
                    <a:ln/>
                  </pic:spPr>
                </pic:pic>
              </a:graphicData>
            </a:graphic>
          </wp:inline>
        </w:drawing>
      </w:r>
    </w:p>
    <w:p w14:paraId="2567C720" w14:textId="77777777" w:rsidR="006C4F12" w:rsidRDefault="00827A53">
      <w:pPr>
        <w:spacing w:line="240" w:lineRule="auto"/>
        <w:jc w:val="both"/>
        <w:rPr>
          <w:b/>
          <w:sz w:val="20"/>
          <w:szCs w:val="20"/>
        </w:rPr>
      </w:pPr>
      <w:r>
        <w:rPr>
          <w:b/>
          <w:sz w:val="20"/>
          <w:szCs w:val="20"/>
        </w:rPr>
        <w:t>Figure S.8 Time series plot of the India gender-specific birth rates from 1990 to 2019. Female birth rates are colored in red; Male birth rates are colored in blue. Birth rate units are births per 100,000 people. Birth rate data are obtained from the Global Burden of Disease Database.</w:t>
      </w:r>
    </w:p>
    <w:p w14:paraId="194EE12E" w14:textId="640C6403" w:rsidR="00715E9D" w:rsidRDefault="00715E9D">
      <w:pPr>
        <w:rPr>
          <w:b/>
        </w:rPr>
      </w:pPr>
      <w:r>
        <w:rPr>
          <w:b/>
        </w:rPr>
        <w:br w:type="page"/>
      </w:r>
    </w:p>
    <w:p w14:paraId="46F34BE9" w14:textId="77777777" w:rsidR="00715E9D" w:rsidRPr="00630FB0" w:rsidRDefault="00715E9D" w:rsidP="00715E9D">
      <w:pPr>
        <w:rPr>
          <w:rFonts w:ascii="Aptos Serif" w:hAnsi="Aptos Serif" w:cs="Aptos Serif"/>
          <w:b/>
        </w:rPr>
      </w:pPr>
      <w:r w:rsidRPr="002C121E">
        <w:rPr>
          <w:rFonts w:ascii="Aptos Serif" w:hAnsi="Aptos Serif" w:cs="Aptos Serif"/>
          <w:b/>
        </w:rPr>
        <w:lastRenderedPageBreak/>
        <w:t>References</w:t>
      </w:r>
    </w:p>
    <w:p w14:paraId="7EB40F8B" w14:textId="77777777" w:rsidR="00715E9D" w:rsidRDefault="00715E9D" w:rsidP="00715E9D">
      <w:pPr>
        <w:rPr>
          <w:b/>
        </w:rPr>
      </w:pPr>
    </w:p>
    <w:p w14:paraId="6ABFD152" w14:textId="124953DC" w:rsidR="00715E9D" w:rsidRPr="00715E9D" w:rsidRDefault="00715E9D" w:rsidP="00715E9D">
      <w:pPr>
        <w:pStyle w:val="Bibliography"/>
        <w:numPr>
          <w:ilvl w:val="0"/>
          <w:numId w:val="14"/>
        </w:numPr>
        <w:spacing w:line="360" w:lineRule="auto"/>
        <w:rPr>
          <w:rFonts w:ascii="Aptos Serif" w:eastAsiaTheme="minorEastAsia" w:hAnsi="Aptos Serif" w:cs="Aptos Serif"/>
        </w:rPr>
      </w:pPr>
      <w:proofErr w:type="spellStart"/>
      <w:r w:rsidRPr="00715E9D">
        <w:rPr>
          <w:rFonts w:ascii="Aptos Serif" w:hAnsi="Aptos Serif" w:cs="Aptos Serif"/>
        </w:rPr>
        <w:t>Benmarhnia</w:t>
      </w:r>
      <w:proofErr w:type="spellEnd"/>
      <w:r w:rsidRPr="00715E9D">
        <w:rPr>
          <w:rFonts w:ascii="Aptos Serif" w:hAnsi="Aptos Serif" w:cs="Aptos Serif"/>
        </w:rPr>
        <w:t xml:space="preserve">, T., </w:t>
      </w:r>
      <w:proofErr w:type="spellStart"/>
      <w:r w:rsidRPr="00715E9D">
        <w:rPr>
          <w:rFonts w:ascii="Aptos Serif" w:hAnsi="Aptos Serif" w:cs="Aptos Serif"/>
        </w:rPr>
        <w:t>Deguen</w:t>
      </w:r>
      <w:proofErr w:type="spellEnd"/>
      <w:r w:rsidRPr="00715E9D">
        <w:rPr>
          <w:rFonts w:ascii="Aptos Serif" w:hAnsi="Aptos Serif" w:cs="Aptos Serif"/>
        </w:rPr>
        <w:t xml:space="preserve">, S., Kaufman, J. S., &amp; Smargiassi, A. (2015). Review Article: Vulnerability to Heat-related Mortality. </w:t>
      </w:r>
      <w:r w:rsidRPr="00715E9D">
        <w:rPr>
          <w:rFonts w:ascii="Aptos Serif" w:hAnsi="Aptos Serif" w:cs="Aptos Serif"/>
          <w:i/>
          <w:iCs/>
        </w:rPr>
        <w:t>Epidemiology</w:t>
      </w:r>
      <w:r w:rsidRPr="00715E9D">
        <w:rPr>
          <w:rFonts w:ascii="Aptos Serif" w:hAnsi="Aptos Serif" w:cs="Aptos Serif"/>
        </w:rPr>
        <w:t xml:space="preserve">, </w:t>
      </w:r>
      <w:r w:rsidRPr="00715E9D">
        <w:rPr>
          <w:rFonts w:ascii="Aptos Serif" w:hAnsi="Aptos Serif" w:cs="Aptos Serif"/>
          <w:i/>
          <w:iCs/>
        </w:rPr>
        <w:t>26</w:t>
      </w:r>
      <w:r w:rsidRPr="00715E9D">
        <w:rPr>
          <w:rFonts w:ascii="Aptos Serif" w:hAnsi="Aptos Serif" w:cs="Aptos Serif"/>
        </w:rPr>
        <w:t xml:space="preserve">(6), 781–793. </w:t>
      </w:r>
      <w:r>
        <w:rPr>
          <w:rFonts w:ascii="Aptos Serif" w:hAnsi="Aptos Serif" w:cs="Aptos Serif"/>
        </w:rPr>
        <w:t>https://doi.org/10.1097/EDE.0000000000000375</w:t>
      </w:r>
    </w:p>
    <w:p w14:paraId="2233D36F" w14:textId="2C13EE8F" w:rsidR="00715E9D" w:rsidRPr="00715E9D" w:rsidRDefault="00715E9D" w:rsidP="00715E9D">
      <w:pPr>
        <w:pStyle w:val="ListParagraph"/>
        <w:numPr>
          <w:ilvl w:val="0"/>
          <w:numId w:val="14"/>
        </w:numPr>
        <w:spacing w:line="360" w:lineRule="auto"/>
        <w:rPr>
          <w:rFonts w:ascii="Aptos Serif" w:hAnsi="Aptos Serif" w:cs="Aptos Serif"/>
        </w:rPr>
      </w:pPr>
      <w:proofErr w:type="spellStart"/>
      <w:r w:rsidRPr="00827A53">
        <w:rPr>
          <w:rFonts w:ascii="Aptos Serif" w:hAnsi="Aptos Serif" w:cs="Aptos Serif"/>
          <w:lang w:val="it-IT"/>
        </w:rPr>
        <w:t>Dimitrova</w:t>
      </w:r>
      <w:proofErr w:type="spellEnd"/>
      <w:r w:rsidRPr="00827A53">
        <w:rPr>
          <w:rFonts w:ascii="Aptos Serif" w:hAnsi="Aptos Serif" w:cs="Aptos Serif"/>
          <w:lang w:val="it-IT"/>
        </w:rPr>
        <w:t xml:space="preserve">, A., </w:t>
      </w:r>
      <w:proofErr w:type="spellStart"/>
      <w:r w:rsidRPr="00827A53">
        <w:rPr>
          <w:rFonts w:ascii="Aptos Serif" w:hAnsi="Aptos Serif" w:cs="Aptos Serif"/>
          <w:lang w:val="it-IT"/>
        </w:rPr>
        <w:t>Ingole</w:t>
      </w:r>
      <w:proofErr w:type="spellEnd"/>
      <w:r w:rsidRPr="00827A53">
        <w:rPr>
          <w:rFonts w:ascii="Aptos Serif" w:hAnsi="Aptos Serif" w:cs="Aptos Serif"/>
          <w:lang w:val="it-IT"/>
        </w:rPr>
        <w:t xml:space="preserve">, V., </w:t>
      </w:r>
      <w:proofErr w:type="spellStart"/>
      <w:r w:rsidRPr="00827A53">
        <w:rPr>
          <w:rFonts w:ascii="Aptos Serif" w:hAnsi="Aptos Serif" w:cs="Aptos Serif"/>
          <w:lang w:val="it-IT"/>
        </w:rPr>
        <w:t>Basaga</w:t>
      </w:r>
      <w:r w:rsidRPr="00827A53">
        <w:rPr>
          <w:rFonts w:ascii="Cambria" w:hAnsi="Cambria" w:cs="Cambria"/>
          <w:lang w:val="it-IT"/>
        </w:rPr>
        <w:t>ñ</w:t>
      </w:r>
      <w:r w:rsidRPr="00827A53">
        <w:rPr>
          <w:rFonts w:ascii="Aptos Serif" w:hAnsi="Aptos Serif" w:cs="Aptos Serif"/>
          <w:lang w:val="it-IT"/>
        </w:rPr>
        <w:t>a</w:t>
      </w:r>
      <w:proofErr w:type="spellEnd"/>
      <w:r w:rsidRPr="00827A53">
        <w:rPr>
          <w:rFonts w:ascii="Aptos Serif" w:hAnsi="Aptos Serif" w:cs="Aptos Serif"/>
          <w:lang w:val="it-IT"/>
        </w:rPr>
        <w:t xml:space="preserve">, X., Ranzani, O., </w:t>
      </w:r>
      <w:proofErr w:type="spellStart"/>
      <w:r w:rsidRPr="00827A53">
        <w:rPr>
          <w:rFonts w:ascii="Aptos Serif" w:hAnsi="Aptos Serif" w:cs="Aptos Serif"/>
          <w:lang w:val="it-IT"/>
        </w:rPr>
        <w:t>Mil</w:t>
      </w:r>
      <w:r w:rsidRPr="00827A53">
        <w:rPr>
          <w:rFonts w:ascii="Cambria" w:hAnsi="Cambria" w:cs="Cambria"/>
          <w:lang w:val="it-IT"/>
        </w:rPr>
        <w:t>à</w:t>
      </w:r>
      <w:proofErr w:type="spellEnd"/>
      <w:r w:rsidRPr="00827A53">
        <w:rPr>
          <w:rFonts w:ascii="Aptos Serif" w:hAnsi="Aptos Serif" w:cs="Aptos Serif"/>
          <w:lang w:val="it-IT"/>
        </w:rPr>
        <w:t xml:space="preserve">, C., </w:t>
      </w:r>
      <w:proofErr w:type="spellStart"/>
      <w:r w:rsidRPr="00827A53">
        <w:rPr>
          <w:rFonts w:ascii="Aptos Serif" w:hAnsi="Aptos Serif" w:cs="Aptos Serif"/>
          <w:lang w:val="it-IT"/>
        </w:rPr>
        <w:t>Ballester</w:t>
      </w:r>
      <w:proofErr w:type="spellEnd"/>
      <w:r w:rsidRPr="00827A53">
        <w:rPr>
          <w:rFonts w:ascii="Aptos Serif" w:hAnsi="Aptos Serif" w:cs="Aptos Serif"/>
          <w:lang w:val="it-IT"/>
        </w:rPr>
        <w:t xml:space="preserve">, J., &amp; </w:t>
      </w:r>
      <w:proofErr w:type="spellStart"/>
      <w:r w:rsidRPr="00827A53">
        <w:rPr>
          <w:rFonts w:ascii="Aptos Serif" w:hAnsi="Aptos Serif" w:cs="Aptos Serif"/>
          <w:lang w:val="it-IT"/>
        </w:rPr>
        <w:t>Tonne</w:t>
      </w:r>
      <w:proofErr w:type="spellEnd"/>
      <w:r w:rsidRPr="00827A53">
        <w:rPr>
          <w:rFonts w:ascii="Aptos Serif" w:hAnsi="Aptos Serif" w:cs="Aptos Serif"/>
          <w:lang w:val="it-IT"/>
        </w:rPr>
        <w:t xml:space="preserve">, C. (2021). </w:t>
      </w:r>
      <w:r w:rsidRPr="00715E9D">
        <w:rPr>
          <w:rFonts w:ascii="Aptos Serif" w:hAnsi="Aptos Serif" w:cs="Aptos Serif"/>
        </w:rPr>
        <w:t xml:space="preserve">Association between ambient temperature and heat waves with mortality in South Asia: Systematic review and meta-analysis. </w:t>
      </w:r>
      <w:r w:rsidRPr="00715E9D">
        <w:rPr>
          <w:rFonts w:ascii="Aptos Serif" w:hAnsi="Aptos Serif" w:cs="Aptos Serif"/>
          <w:i/>
          <w:iCs/>
        </w:rPr>
        <w:t>Environment International</w:t>
      </w:r>
      <w:r w:rsidRPr="00715E9D">
        <w:rPr>
          <w:rFonts w:ascii="Aptos Serif" w:hAnsi="Aptos Serif" w:cs="Aptos Serif"/>
        </w:rPr>
        <w:t xml:space="preserve">, </w:t>
      </w:r>
      <w:r w:rsidRPr="00715E9D">
        <w:rPr>
          <w:rFonts w:ascii="Aptos Serif" w:hAnsi="Aptos Serif" w:cs="Aptos Serif"/>
          <w:i/>
          <w:iCs/>
        </w:rPr>
        <w:t>146</w:t>
      </w:r>
      <w:r w:rsidRPr="00715E9D">
        <w:rPr>
          <w:rFonts w:ascii="Aptos Serif" w:hAnsi="Aptos Serif" w:cs="Aptos Serif"/>
        </w:rPr>
        <w:t>, 106170. https://doi.org/10.1016/j.envint.2020.106170</w:t>
      </w:r>
    </w:p>
    <w:p w14:paraId="42B832E9" w14:textId="13490890" w:rsidR="00715E9D" w:rsidRPr="00715E9D" w:rsidRDefault="00715E9D" w:rsidP="00715E9D">
      <w:pPr>
        <w:pStyle w:val="ListParagraph"/>
        <w:ind w:left="0"/>
        <w:rPr>
          <w:lang w:eastAsia="zh-TW" w:bidi="ar-SA"/>
        </w:rPr>
      </w:pPr>
    </w:p>
    <w:p w14:paraId="4A65C1EF" w14:textId="77777777" w:rsidR="006C4F12" w:rsidRDefault="006C4F12">
      <w:pPr>
        <w:rPr>
          <w:b/>
        </w:rPr>
      </w:pPr>
    </w:p>
    <w:sectPr w:rsidR="006C4F1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Serif">
    <w:charset w:val="00"/>
    <w:family w:val="roman"/>
    <w:pitch w:val="variable"/>
    <w:sig w:usb0="A11526FF" w:usb1="C000ECFB" w:usb2="0001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178B"/>
    <w:multiLevelType w:val="hybridMultilevel"/>
    <w:tmpl w:val="F3EAF74A"/>
    <w:lvl w:ilvl="0" w:tplc="5AC81E34">
      <w:start w:val="1"/>
      <w:numFmt w:val="decimal"/>
      <w:suff w:val="space"/>
      <w:lvlText w:val="%1."/>
      <w:lvlJc w:val="left"/>
      <w:pPr>
        <w:ind w:left="0" w:firstLine="0"/>
      </w:pPr>
      <w:rPr>
        <w:rFonts w:ascii="Aptos Serif" w:eastAsiaTheme="minorEastAsia" w:hAnsi="Aptos Serif" w:cs="Arial"/>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5F74E4"/>
    <w:multiLevelType w:val="multilevel"/>
    <w:tmpl w:val="47CE239E"/>
    <w:lvl w:ilvl="0">
      <w:start w:val="3"/>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0E091378"/>
    <w:multiLevelType w:val="multilevel"/>
    <w:tmpl w:val="3342F35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 w15:restartNumberingAfterBreak="0">
    <w:nsid w:val="0F211455"/>
    <w:multiLevelType w:val="multilevel"/>
    <w:tmpl w:val="70E44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6E46280"/>
    <w:multiLevelType w:val="multilevel"/>
    <w:tmpl w:val="19C6214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 w15:restartNumberingAfterBreak="0">
    <w:nsid w:val="208A7F6A"/>
    <w:multiLevelType w:val="multilevel"/>
    <w:tmpl w:val="D6BEB880"/>
    <w:lvl w:ilvl="0">
      <w:start w:val="1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4A21030"/>
    <w:multiLevelType w:val="multilevel"/>
    <w:tmpl w:val="85929B54"/>
    <w:lvl w:ilvl="0">
      <w:start w:val="3"/>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E583279"/>
    <w:multiLevelType w:val="multilevel"/>
    <w:tmpl w:val="0B7601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CEC7C00"/>
    <w:multiLevelType w:val="multilevel"/>
    <w:tmpl w:val="DE200BC6"/>
    <w:lvl w:ilvl="0">
      <w:start w:val="9"/>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1F2183C"/>
    <w:multiLevelType w:val="multilevel"/>
    <w:tmpl w:val="D35627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EFF4B38"/>
    <w:multiLevelType w:val="multilevel"/>
    <w:tmpl w:val="EDFC6248"/>
    <w:lvl w:ilvl="0">
      <w:start w:val="7"/>
      <w:numFmt w:val="lowerLetter"/>
      <w:lvlText w:val="(%1)"/>
      <w:lvlJc w:val="left"/>
      <w:pPr>
        <w:ind w:left="360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E7A46C0"/>
    <w:multiLevelType w:val="multilevel"/>
    <w:tmpl w:val="C982F48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6888761D"/>
    <w:multiLevelType w:val="multilevel"/>
    <w:tmpl w:val="1C4E1EBE"/>
    <w:lvl w:ilvl="0">
      <w:start w:val="5"/>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7D5B5E54"/>
    <w:multiLevelType w:val="multilevel"/>
    <w:tmpl w:val="FDCAEE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39881187">
    <w:abstractNumId w:val="11"/>
  </w:num>
  <w:num w:numId="2" w16cid:durableId="2010402381">
    <w:abstractNumId w:val="3"/>
  </w:num>
  <w:num w:numId="3" w16cid:durableId="967053897">
    <w:abstractNumId w:val="7"/>
  </w:num>
  <w:num w:numId="4" w16cid:durableId="1625498861">
    <w:abstractNumId w:val="6"/>
  </w:num>
  <w:num w:numId="5" w16cid:durableId="54669901">
    <w:abstractNumId w:val="1"/>
  </w:num>
  <w:num w:numId="6" w16cid:durableId="1253053311">
    <w:abstractNumId w:val="8"/>
  </w:num>
  <w:num w:numId="7" w16cid:durableId="595795225">
    <w:abstractNumId w:val="5"/>
  </w:num>
  <w:num w:numId="8" w16cid:durableId="978807907">
    <w:abstractNumId w:val="9"/>
  </w:num>
  <w:num w:numId="9" w16cid:durableId="1617055325">
    <w:abstractNumId w:val="2"/>
  </w:num>
  <w:num w:numId="10" w16cid:durableId="1174496508">
    <w:abstractNumId w:val="10"/>
  </w:num>
  <w:num w:numId="11" w16cid:durableId="1828861621">
    <w:abstractNumId w:val="4"/>
  </w:num>
  <w:num w:numId="12" w16cid:durableId="980619606">
    <w:abstractNumId w:val="12"/>
  </w:num>
  <w:num w:numId="13" w16cid:durableId="786047486">
    <w:abstractNumId w:val="13"/>
  </w:num>
  <w:num w:numId="14" w16cid:durableId="961813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F12"/>
    <w:rsid w:val="00007234"/>
    <w:rsid w:val="000C68FD"/>
    <w:rsid w:val="002D2004"/>
    <w:rsid w:val="002E4506"/>
    <w:rsid w:val="0030568A"/>
    <w:rsid w:val="00424F0D"/>
    <w:rsid w:val="00477625"/>
    <w:rsid w:val="005B3EE0"/>
    <w:rsid w:val="005C6694"/>
    <w:rsid w:val="00666C33"/>
    <w:rsid w:val="006C4F12"/>
    <w:rsid w:val="00715E9D"/>
    <w:rsid w:val="00827A53"/>
    <w:rsid w:val="008445D9"/>
    <w:rsid w:val="00920A87"/>
    <w:rsid w:val="00CA1D4E"/>
    <w:rsid w:val="00E52E33"/>
    <w:rsid w:val="00EA65C3"/>
    <w:rsid w:val="00EB23DA"/>
    <w:rsid w:val="00F43958"/>
    <w:rsid w:val="00FC2A8A"/>
  </w:rsids>
  <m:mathPr>
    <m:mathFont m:val="Cambria Math"/>
    <m:brkBin m:val="before"/>
    <m:brkBinSub m:val="--"/>
    <m:smallFrac m:val="0"/>
    <m:dispDef/>
    <m:lMargin m:val="0"/>
    <m:rMargin m:val="0"/>
    <m:defJc m:val="centerGroup"/>
    <m:wrapIndent m:val="1440"/>
    <m:intLim m:val="subSup"/>
    <m:naryLim m:val="undOvr"/>
  </m:mathPr>
  <w:themeFontLang w:val="en-US" w:eastAsia="zh-TW"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3EEEB"/>
  <w15:docId w15:val="{E62434D2-3E9A-BB4C-A431-F724318E3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en-US" w:bidi="bn-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B23DA"/>
    <w:rPr>
      <w:sz w:val="16"/>
      <w:szCs w:val="16"/>
    </w:rPr>
  </w:style>
  <w:style w:type="paragraph" w:styleId="CommentText">
    <w:name w:val="annotation text"/>
    <w:basedOn w:val="Normal"/>
    <w:link w:val="CommentTextChar"/>
    <w:uiPriority w:val="99"/>
    <w:semiHidden/>
    <w:unhideWhenUsed/>
    <w:rsid w:val="00EB23DA"/>
    <w:pPr>
      <w:spacing w:line="240" w:lineRule="auto"/>
    </w:pPr>
    <w:rPr>
      <w:sz w:val="20"/>
      <w:szCs w:val="25"/>
    </w:rPr>
  </w:style>
  <w:style w:type="character" w:customStyle="1" w:styleId="CommentTextChar">
    <w:name w:val="Comment Text Char"/>
    <w:basedOn w:val="DefaultParagraphFont"/>
    <w:link w:val="CommentText"/>
    <w:uiPriority w:val="99"/>
    <w:semiHidden/>
    <w:rsid w:val="00EB23DA"/>
    <w:rPr>
      <w:sz w:val="20"/>
      <w:szCs w:val="25"/>
    </w:rPr>
  </w:style>
  <w:style w:type="paragraph" w:styleId="CommentSubject">
    <w:name w:val="annotation subject"/>
    <w:basedOn w:val="CommentText"/>
    <w:next w:val="CommentText"/>
    <w:link w:val="CommentSubjectChar"/>
    <w:uiPriority w:val="99"/>
    <w:semiHidden/>
    <w:unhideWhenUsed/>
    <w:rsid w:val="00EB23DA"/>
    <w:rPr>
      <w:b/>
      <w:bCs/>
    </w:rPr>
  </w:style>
  <w:style w:type="character" w:customStyle="1" w:styleId="CommentSubjectChar">
    <w:name w:val="Comment Subject Char"/>
    <w:basedOn w:val="CommentTextChar"/>
    <w:link w:val="CommentSubject"/>
    <w:uiPriority w:val="99"/>
    <w:semiHidden/>
    <w:rsid w:val="00EB23DA"/>
    <w:rPr>
      <w:b/>
      <w:bCs/>
      <w:sz w:val="20"/>
      <w:szCs w:val="25"/>
    </w:rPr>
  </w:style>
  <w:style w:type="paragraph" w:styleId="Bibliography">
    <w:name w:val="Bibliography"/>
    <w:basedOn w:val="Normal"/>
    <w:next w:val="Normal"/>
    <w:uiPriority w:val="37"/>
    <w:unhideWhenUsed/>
    <w:rsid w:val="00715E9D"/>
    <w:rPr>
      <w:rFonts w:eastAsia="Arial"/>
      <w:lang w:eastAsia="zh-TW" w:bidi="ar-SA"/>
    </w:rPr>
  </w:style>
  <w:style w:type="character" w:styleId="Hyperlink">
    <w:name w:val="Hyperlink"/>
    <w:basedOn w:val="DefaultParagraphFont"/>
    <w:uiPriority w:val="99"/>
    <w:unhideWhenUsed/>
    <w:rsid w:val="00715E9D"/>
    <w:rPr>
      <w:color w:val="0000FF" w:themeColor="hyperlink"/>
      <w:u w:val="single"/>
    </w:rPr>
  </w:style>
  <w:style w:type="character" w:styleId="UnresolvedMention">
    <w:name w:val="Unresolved Mention"/>
    <w:basedOn w:val="DefaultParagraphFont"/>
    <w:uiPriority w:val="99"/>
    <w:semiHidden/>
    <w:unhideWhenUsed/>
    <w:rsid w:val="00715E9D"/>
    <w:rPr>
      <w:color w:val="605E5C"/>
      <w:shd w:val="clear" w:color="auto" w:fill="E1DFDD"/>
    </w:rPr>
  </w:style>
  <w:style w:type="paragraph" w:styleId="ListParagraph">
    <w:name w:val="List Paragraph"/>
    <w:basedOn w:val="Normal"/>
    <w:uiPriority w:val="34"/>
    <w:qFormat/>
    <w:rsid w:val="00715E9D"/>
    <w:pPr>
      <w:ind w:left="720"/>
      <w:contextualSpacing/>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71113">
      <w:bodyDiv w:val="1"/>
      <w:marLeft w:val="0"/>
      <w:marRight w:val="0"/>
      <w:marTop w:val="0"/>
      <w:marBottom w:val="0"/>
      <w:divBdr>
        <w:top w:val="none" w:sz="0" w:space="0" w:color="auto"/>
        <w:left w:val="none" w:sz="0" w:space="0" w:color="auto"/>
        <w:bottom w:val="none" w:sz="0" w:space="0" w:color="auto"/>
        <w:right w:val="none" w:sz="0" w:space="0" w:color="auto"/>
      </w:divBdr>
      <w:divsChild>
        <w:div w:id="5601006">
          <w:marLeft w:val="480"/>
          <w:marRight w:val="0"/>
          <w:marTop w:val="0"/>
          <w:marBottom w:val="0"/>
          <w:divBdr>
            <w:top w:val="none" w:sz="0" w:space="0" w:color="auto"/>
            <w:left w:val="none" w:sz="0" w:space="0" w:color="auto"/>
            <w:bottom w:val="none" w:sz="0" w:space="0" w:color="auto"/>
            <w:right w:val="none" w:sz="0" w:space="0" w:color="auto"/>
          </w:divBdr>
          <w:divsChild>
            <w:div w:id="900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hyperlink" Target="https://www.zotero.org/google-docs/?broken=1aKPmO" TargetMode="Externa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fontTable" Target="fontTable.xml"/><Relationship Id="rId5" Type="http://schemas.openxmlformats.org/officeDocument/2006/relationships/hyperlink" Target="https://www.zotero.org/google-docs/?broken=ygVqmL" TargetMode="Externa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2964</Words>
  <Characters>16897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Britten</cp:lastModifiedBy>
  <cp:revision>10</cp:revision>
  <dcterms:created xsi:type="dcterms:W3CDTF">2024-02-28T15:49:00Z</dcterms:created>
  <dcterms:modified xsi:type="dcterms:W3CDTF">2024-04-05T09:01:00Z</dcterms:modified>
</cp:coreProperties>
</file>